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68" w:lineRule="auto" w:before="168"/>
        <w:ind w:left="393" w:right="848" w:firstLine="0"/>
        <w:jc w:val="left"/>
        <w:rPr>
          <w:rFonts w:ascii="Arial"/>
          <w:b/>
          <w:sz w:val="56"/>
        </w:rPr>
      </w:pPr>
      <w:r>
        <w:rPr>
          <w:rFonts w:ascii="Arial"/>
          <w:b/>
          <w:color w:val="3B9DD7"/>
          <w:w w:val="110"/>
          <w:sz w:val="56"/>
        </w:rPr>
        <w:t>EVICTION TRAUMA: </w:t>
      </w:r>
      <w:r>
        <w:rPr>
          <w:rFonts w:ascii="Arial"/>
          <w:b/>
          <w:sz w:val="56"/>
        </w:rPr>
        <w:t>RETHINKING</w:t>
      </w:r>
      <w:r>
        <w:rPr>
          <w:rFonts w:ascii="Arial"/>
          <w:b/>
          <w:spacing w:val="3"/>
          <w:sz w:val="56"/>
        </w:rPr>
        <w:t>  </w:t>
      </w:r>
      <w:r>
        <w:rPr>
          <w:rFonts w:ascii="Arial"/>
          <w:b/>
          <w:sz w:val="56"/>
        </w:rPr>
        <w:t>AN</w:t>
      </w:r>
      <w:r>
        <w:rPr>
          <w:rFonts w:ascii="Arial"/>
          <w:b/>
          <w:spacing w:val="4"/>
          <w:sz w:val="56"/>
        </w:rPr>
        <w:t>  </w:t>
      </w:r>
      <w:r>
        <w:rPr>
          <w:rFonts w:ascii="Arial"/>
          <w:b/>
          <w:sz w:val="56"/>
        </w:rPr>
        <w:t>EXTREME</w:t>
      </w:r>
    </w:p>
    <w:p>
      <w:pPr>
        <w:spacing w:line="642" w:lineRule="exact" w:before="0"/>
        <w:ind w:left="393" w:right="0" w:firstLine="0"/>
        <w:jc w:val="left"/>
        <w:rPr>
          <w:rFonts w:ascii="Arial"/>
          <w:b/>
          <w:sz w:val="56"/>
        </w:rPr>
      </w:pPr>
      <w:r>
        <w:rPr>
          <w:rFonts w:ascii="Arial"/>
          <w:b/>
          <w:sz w:val="56"/>
        </w:rPr>
        <w:t>REMEDY</w:t>
      </w:r>
      <w:r>
        <w:rPr>
          <w:rFonts w:ascii="Arial"/>
          <w:b/>
          <w:spacing w:val="47"/>
          <w:sz w:val="56"/>
        </w:rPr>
        <w:t> </w:t>
      </w:r>
      <w:r>
        <w:rPr>
          <w:rFonts w:ascii="Arial"/>
          <w:b/>
          <w:sz w:val="56"/>
        </w:rPr>
        <w:t>TO</w:t>
      </w:r>
      <w:r>
        <w:rPr>
          <w:rFonts w:ascii="Arial"/>
          <w:b/>
          <w:spacing w:val="47"/>
          <w:sz w:val="56"/>
        </w:rPr>
        <w:t> </w:t>
      </w:r>
      <w:r>
        <w:rPr>
          <w:rFonts w:ascii="Arial"/>
          <w:b/>
          <w:sz w:val="56"/>
        </w:rPr>
        <w:t>A</w:t>
      </w:r>
      <w:r>
        <w:rPr>
          <w:rFonts w:ascii="Arial"/>
          <w:b/>
          <w:spacing w:val="47"/>
          <w:sz w:val="56"/>
        </w:rPr>
        <w:t> </w:t>
      </w:r>
      <w:r>
        <w:rPr>
          <w:rFonts w:ascii="Arial"/>
          <w:b/>
          <w:sz w:val="56"/>
        </w:rPr>
        <w:t>CONTRACT</w:t>
      </w:r>
      <w:r>
        <w:rPr>
          <w:rFonts w:ascii="Arial"/>
          <w:b/>
          <w:spacing w:val="47"/>
          <w:sz w:val="56"/>
        </w:rPr>
        <w:t> </w:t>
      </w:r>
      <w:r>
        <w:rPr>
          <w:rFonts w:ascii="Arial"/>
          <w:b/>
          <w:spacing w:val="-2"/>
          <w:sz w:val="56"/>
        </w:rPr>
        <w:t>DISPUTE</w:t>
      </w:r>
    </w:p>
    <w:p>
      <w:pPr>
        <w:spacing w:before="114"/>
        <w:ind w:left="393" w:right="0" w:firstLine="0"/>
        <w:jc w:val="left"/>
        <w:rPr>
          <w:rFonts w:ascii="Arial-BoldItalicMT"/>
          <w:b/>
          <w:i/>
          <w:sz w:val="20"/>
        </w:rPr>
      </w:pPr>
      <w:r>
        <w:rPr>
          <w:rFonts w:ascii="Arial-BoldItalicMT"/>
          <w:b/>
          <w:i/>
          <w:w w:val="110"/>
          <w:sz w:val="20"/>
        </w:rPr>
        <w:t>By</w:t>
      </w:r>
      <w:r>
        <w:rPr>
          <w:rFonts w:ascii="Arial-BoldItalicMT"/>
          <w:b/>
          <w:i/>
          <w:spacing w:val="6"/>
          <w:w w:val="110"/>
          <w:sz w:val="20"/>
        </w:rPr>
        <w:t> </w:t>
      </w:r>
      <w:r>
        <w:rPr>
          <w:rFonts w:ascii="Arial-BoldItalicMT"/>
          <w:b/>
          <w:i/>
          <w:w w:val="110"/>
          <w:sz w:val="20"/>
        </w:rPr>
        <w:t>Steven</w:t>
      </w:r>
      <w:r>
        <w:rPr>
          <w:rFonts w:ascii="Arial-BoldItalicMT"/>
          <w:b/>
          <w:i/>
          <w:spacing w:val="6"/>
          <w:w w:val="110"/>
          <w:sz w:val="20"/>
        </w:rPr>
        <w:t> </w:t>
      </w:r>
      <w:r>
        <w:rPr>
          <w:rFonts w:ascii="Arial-BoldItalicMT"/>
          <w:b/>
          <w:i/>
          <w:w w:val="110"/>
          <w:sz w:val="20"/>
        </w:rPr>
        <w:t>Nisi,</w:t>
      </w:r>
      <w:r>
        <w:rPr>
          <w:rFonts w:ascii="Arial-BoldItalicMT"/>
          <w:b/>
          <w:i/>
          <w:spacing w:val="6"/>
          <w:w w:val="110"/>
          <w:sz w:val="20"/>
        </w:rPr>
        <w:t> </w:t>
      </w:r>
      <w:r>
        <w:rPr>
          <w:rFonts w:ascii="Arial-BoldItalicMT"/>
          <w:b/>
          <w:i/>
          <w:w w:val="110"/>
          <w:sz w:val="20"/>
        </w:rPr>
        <w:t>Adam</w:t>
      </w:r>
      <w:r>
        <w:rPr>
          <w:rFonts w:ascii="Arial-BoldItalicMT"/>
          <w:b/>
          <w:i/>
          <w:spacing w:val="6"/>
          <w:w w:val="110"/>
          <w:sz w:val="20"/>
        </w:rPr>
        <w:t> </w:t>
      </w:r>
      <w:r>
        <w:rPr>
          <w:rFonts w:ascii="Arial-BoldItalicMT"/>
          <w:b/>
          <w:i/>
          <w:w w:val="110"/>
          <w:sz w:val="20"/>
        </w:rPr>
        <w:t>Mueller,</w:t>
      </w:r>
      <w:r>
        <w:rPr>
          <w:rFonts w:ascii="Arial-BoldItalicMT"/>
          <w:b/>
          <w:i/>
          <w:spacing w:val="6"/>
          <w:w w:val="110"/>
          <w:sz w:val="20"/>
        </w:rPr>
        <w:t> </w:t>
      </w:r>
      <w:r>
        <w:rPr>
          <w:rFonts w:ascii="Arial-BoldItalicMT"/>
          <w:b/>
          <w:i/>
          <w:w w:val="110"/>
          <w:sz w:val="20"/>
        </w:rPr>
        <w:t>and</w:t>
      </w:r>
      <w:r>
        <w:rPr>
          <w:rFonts w:ascii="Arial-BoldItalicMT"/>
          <w:b/>
          <w:i/>
          <w:spacing w:val="6"/>
          <w:w w:val="110"/>
          <w:sz w:val="20"/>
        </w:rPr>
        <w:t> </w:t>
      </w:r>
      <w:r>
        <w:rPr>
          <w:rFonts w:ascii="Arial-BoldItalicMT"/>
          <w:b/>
          <w:i/>
          <w:w w:val="110"/>
          <w:sz w:val="20"/>
        </w:rPr>
        <w:t>Fran</w:t>
      </w:r>
      <w:r>
        <w:rPr>
          <w:rFonts w:ascii="Arial-BoldItalicMT"/>
          <w:b/>
          <w:i/>
          <w:spacing w:val="6"/>
          <w:w w:val="110"/>
          <w:sz w:val="20"/>
        </w:rPr>
        <w:t> </w:t>
      </w:r>
      <w:r>
        <w:rPr>
          <w:rFonts w:ascii="Arial-BoldItalicMT"/>
          <w:b/>
          <w:i/>
          <w:spacing w:val="-2"/>
          <w:w w:val="110"/>
          <w:sz w:val="20"/>
        </w:rPr>
        <w:t>Quigley</w:t>
      </w: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spacing w:before="6"/>
        <w:rPr>
          <w:rFonts w:ascii="Arial-BoldItalicMT"/>
          <w:b/>
          <w:i/>
          <w:sz w:val="20"/>
        </w:rPr>
      </w:pPr>
    </w:p>
    <w:p>
      <w:pPr>
        <w:pStyle w:val="BodyText"/>
        <w:spacing w:line="290" w:lineRule="auto" w:before="99"/>
        <w:ind w:left="7143" w:right="186"/>
      </w:pPr>
      <w:r>
        <w:rPr/>
        <mc:AlternateContent>
          <mc:Choice Requires="wps">
            <w:drawing>
              <wp:anchor distT="0" distB="0" distL="0" distR="0" allowOverlap="1" layoutInCell="1" locked="0" behindDoc="0" simplePos="0" relativeHeight="15728640">
                <wp:simplePos x="0" y="0"/>
                <wp:positionH relativeFrom="page">
                  <wp:posOffset>4575175</wp:posOffset>
                </wp:positionH>
                <wp:positionV relativeFrom="paragraph">
                  <wp:posOffset>-426668</wp:posOffset>
                </wp:positionV>
                <wp:extent cx="1270" cy="623570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1270" cy="6235700"/>
                        </a:xfrm>
                        <a:custGeom>
                          <a:avLst/>
                          <a:gdLst/>
                          <a:ahLst/>
                          <a:cxnLst/>
                          <a:rect l="l" t="t" r="r" b="b"/>
                          <a:pathLst>
                            <a:path w="0" h="6235700">
                              <a:moveTo>
                                <a:pt x="0" y="0"/>
                              </a:moveTo>
                              <a:lnTo>
                                <a:pt x="0" y="6235204"/>
                              </a:lnTo>
                            </a:path>
                          </a:pathLst>
                        </a:custGeom>
                        <a:ln w="6350">
                          <a:solidFill>
                            <a:srgbClr val="21171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8640" from="360.25pt,-33.595959pt" to="360.25pt,457.365041pt" stroked="true" strokeweight=".5pt" strokecolor="#211713">
                <v:stroke dashstyle="solid"/>
                <w10:wrap type="none"/>
              </v:line>
            </w:pict>
          </mc:Fallback>
        </mc:AlternateContent>
      </w:r>
      <w:r>
        <w:rPr/>
        <w:drawing>
          <wp:anchor distT="0" distB="0" distL="0" distR="0" allowOverlap="1" layoutInCell="1" locked="0" behindDoc="0" simplePos="0" relativeHeight="15729152">
            <wp:simplePos x="0" y="0"/>
            <wp:positionH relativeFrom="page">
              <wp:posOffset>720001</wp:posOffset>
            </wp:positionH>
            <wp:positionV relativeFrom="paragraph">
              <wp:posOffset>-426669</wp:posOffset>
            </wp:positionV>
            <wp:extent cx="3766833" cy="6235205"/>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3766833" cy="6235205"/>
                    </a:xfrm>
                    <a:prstGeom prst="rect">
                      <a:avLst/>
                    </a:prstGeom>
                  </pic:spPr>
                </pic:pic>
              </a:graphicData>
            </a:graphic>
          </wp:anchor>
        </w:drawing>
      </w:r>
      <w:r>
        <w:rPr/>
        <mc:AlternateContent>
          <mc:Choice Requires="wps">
            <w:drawing>
              <wp:anchor distT="0" distB="0" distL="0" distR="0" allowOverlap="1" layoutInCell="1" locked="0" behindDoc="1" simplePos="0" relativeHeight="487453696">
                <wp:simplePos x="0" y="0"/>
                <wp:positionH relativeFrom="page">
                  <wp:posOffset>4666108</wp:posOffset>
                </wp:positionH>
                <wp:positionV relativeFrom="paragraph">
                  <wp:posOffset>-31857</wp:posOffset>
                </wp:positionV>
                <wp:extent cx="342900" cy="65087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342900" cy="650875"/>
                        </a:xfrm>
                        <a:prstGeom prst="rect">
                          <a:avLst/>
                        </a:prstGeom>
                      </wps:spPr>
                      <wps:txbx>
                        <w:txbxContent>
                          <w:p>
                            <w:pPr>
                              <w:spacing w:line="1008" w:lineRule="exact" w:before="0"/>
                              <w:ind w:left="0" w:right="0" w:firstLine="0"/>
                              <w:jc w:val="left"/>
                              <w:rPr>
                                <w:sz w:val="88"/>
                              </w:rPr>
                            </w:pPr>
                            <w:r>
                              <w:rPr>
                                <w:color w:val="3B9DD7"/>
                                <w:w w:val="100"/>
                                <w:sz w:val="88"/>
                              </w:rPr>
                              <w:t>T</w:t>
                            </w:r>
                          </w:p>
                        </w:txbxContent>
                      </wps:txbx>
                      <wps:bodyPr wrap="square" lIns="0" tIns="0" rIns="0" bIns="0" rtlCol="0">
                        <a:noAutofit/>
                      </wps:bodyPr>
                    </wps:wsp>
                  </a:graphicData>
                </a:graphic>
              </wp:anchor>
            </w:drawing>
          </mc:Choice>
          <mc:Fallback>
            <w:pict>
              <v:shape style="position:absolute;margin-left:367.410095pt;margin-top:-2.508485pt;width:27pt;height:51.25pt;mso-position-horizontal-relative:page;mso-position-vertical-relative:paragraph;z-index:-15862784" type="#_x0000_t202" id="docshape3" filled="false" stroked="false">
                <v:textbox inset="0,0,0,0">
                  <w:txbxContent>
                    <w:p>
                      <w:pPr>
                        <w:spacing w:line="1008" w:lineRule="exact" w:before="0"/>
                        <w:ind w:left="0" w:right="0" w:firstLine="0"/>
                        <w:jc w:val="left"/>
                        <w:rPr>
                          <w:sz w:val="88"/>
                        </w:rPr>
                      </w:pPr>
                      <w:r>
                        <w:rPr>
                          <w:color w:val="3B9DD7"/>
                          <w:w w:val="100"/>
                          <w:sz w:val="88"/>
                        </w:rPr>
                        <w:t>T</w:t>
                      </w:r>
                    </w:p>
                  </w:txbxContent>
                </v:textbox>
                <w10:wrap type="none"/>
              </v:shape>
            </w:pict>
          </mc:Fallback>
        </mc:AlternateContent>
      </w:r>
      <w:r>
        <w:rPr>
          <w:w w:val="120"/>
        </w:rPr>
        <w:t>he removal of families from their homes under Indiana’s landlord- </w:t>
      </w:r>
      <w:r>
        <w:rPr>
          <w:spacing w:val="-2"/>
          <w:w w:val="120"/>
        </w:rPr>
        <w:t>friendly</w:t>
      </w:r>
      <w:r>
        <w:rPr>
          <w:spacing w:val="-12"/>
          <w:w w:val="120"/>
        </w:rPr>
        <w:t> </w:t>
      </w:r>
      <w:r>
        <w:rPr>
          <w:spacing w:val="-2"/>
          <w:w w:val="120"/>
        </w:rPr>
        <w:t>eviction</w:t>
      </w:r>
      <w:r>
        <w:rPr>
          <w:spacing w:val="-11"/>
          <w:w w:val="120"/>
        </w:rPr>
        <w:t> </w:t>
      </w:r>
      <w:r>
        <w:rPr>
          <w:spacing w:val="-2"/>
          <w:w w:val="120"/>
        </w:rPr>
        <w:t>laws</w:t>
      </w:r>
      <w:r>
        <w:rPr>
          <w:spacing w:val="-12"/>
          <w:w w:val="120"/>
        </w:rPr>
        <w:t> </w:t>
      </w:r>
      <w:r>
        <w:rPr>
          <w:spacing w:val="-2"/>
          <w:w w:val="120"/>
        </w:rPr>
        <w:t>occurs</w:t>
      </w:r>
      <w:r>
        <w:rPr>
          <w:spacing w:val="-11"/>
          <w:w w:val="120"/>
        </w:rPr>
        <w:t> </w:t>
      </w:r>
      <w:r>
        <w:rPr>
          <w:spacing w:val="-2"/>
          <w:w w:val="120"/>
        </w:rPr>
        <w:t>all</w:t>
      </w:r>
      <w:r>
        <w:rPr>
          <w:spacing w:val="-12"/>
          <w:w w:val="120"/>
        </w:rPr>
        <w:t> </w:t>
      </w:r>
      <w:r>
        <w:rPr>
          <w:spacing w:val="-2"/>
          <w:w w:val="120"/>
        </w:rPr>
        <w:t>too</w:t>
      </w:r>
    </w:p>
    <w:p>
      <w:pPr>
        <w:pStyle w:val="BodyText"/>
        <w:spacing w:line="290" w:lineRule="auto"/>
        <w:ind w:left="6625" w:right="186"/>
      </w:pPr>
      <w:r>
        <w:rPr>
          <w:w w:val="120"/>
        </w:rPr>
        <w:t>quickly.</w:t>
      </w:r>
      <w:r>
        <w:rPr>
          <w:spacing w:val="-14"/>
          <w:w w:val="120"/>
        </w:rPr>
        <w:t> </w:t>
      </w:r>
      <w:r>
        <w:rPr>
          <w:w w:val="120"/>
        </w:rPr>
        <w:t>In</w:t>
      </w:r>
      <w:r>
        <w:rPr>
          <w:spacing w:val="-13"/>
          <w:w w:val="120"/>
        </w:rPr>
        <w:t> </w:t>
      </w:r>
      <w:r>
        <w:rPr>
          <w:w w:val="120"/>
        </w:rPr>
        <w:t>any</w:t>
      </w:r>
      <w:r>
        <w:rPr>
          <w:spacing w:val="-14"/>
          <w:w w:val="120"/>
        </w:rPr>
        <w:t> </w:t>
      </w:r>
      <w:r>
        <w:rPr>
          <w:w w:val="120"/>
        </w:rPr>
        <w:t>other</w:t>
      </w:r>
      <w:r>
        <w:rPr>
          <w:spacing w:val="-13"/>
          <w:w w:val="120"/>
        </w:rPr>
        <w:t> </w:t>
      </w:r>
      <w:r>
        <w:rPr>
          <w:w w:val="120"/>
        </w:rPr>
        <w:t>contractual</w:t>
      </w:r>
      <w:r>
        <w:rPr>
          <w:spacing w:val="-14"/>
          <w:w w:val="120"/>
        </w:rPr>
        <w:t> </w:t>
      </w:r>
      <w:r>
        <w:rPr>
          <w:w w:val="120"/>
        </w:rPr>
        <w:t>relationship (yes, leases are just plain old contracts), Indiana would never grant such an extreme remedy for the breach of a contract, especially where money damages would be adequate and economic loss to an injured party can be calculated to a specific dollar amount.</w:t>
      </w:r>
      <w:r>
        <w:rPr>
          <w:spacing w:val="-14"/>
          <w:w w:val="120"/>
        </w:rPr>
        <w:t> </w:t>
      </w:r>
      <w:r>
        <w:rPr>
          <w:w w:val="120"/>
        </w:rPr>
        <w:t>Look</w:t>
      </w:r>
      <w:r>
        <w:rPr>
          <w:spacing w:val="-13"/>
          <w:w w:val="120"/>
        </w:rPr>
        <w:t> </w:t>
      </w:r>
      <w:r>
        <w:rPr>
          <w:w w:val="120"/>
        </w:rPr>
        <w:t>at</w:t>
      </w:r>
      <w:r>
        <w:rPr>
          <w:spacing w:val="-14"/>
          <w:w w:val="120"/>
        </w:rPr>
        <w:t> </w:t>
      </w:r>
      <w:r>
        <w:rPr>
          <w:w w:val="120"/>
        </w:rPr>
        <w:t>any</w:t>
      </w:r>
      <w:r>
        <w:rPr>
          <w:spacing w:val="-13"/>
          <w:w w:val="120"/>
        </w:rPr>
        <w:t> </w:t>
      </w:r>
      <w:r>
        <w:rPr>
          <w:w w:val="120"/>
        </w:rPr>
        <w:t>eviction</w:t>
      </w:r>
      <w:r>
        <w:rPr>
          <w:spacing w:val="-14"/>
          <w:w w:val="120"/>
        </w:rPr>
        <w:t> </w:t>
      </w:r>
      <w:r>
        <w:rPr>
          <w:w w:val="120"/>
        </w:rPr>
        <w:t>filing</w:t>
      </w:r>
      <w:r>
        <w:rPr>
          <w:spacing w:val="-13"/>
          <w:w w:val="120"/>
        </w:rPr>
        <w:t> </w:t>
      </w:r>
      <w:r>
        <w:rPr>
          <w:w w:val="120"/>
        </w:rPr>
        <w:t>on</w:t>
      </w:r>
      <w:r>
        <w:rPr>
          <w:spacing w:val="-14"/>
          <w:w w:val="120"/>
        </w:rPr>
        <w:t> </w:t>
      </w:r>
      <w:r>
        <w:rPr>
          <w:w w:val="120"/>
        </w:rPr>
        <w:t>public record,</w:t>
      </w:r>
      <w:r>
        <w:rPr>
          <w:spacing w:val="-5"/>
          <w:w w:val="120"/>
        </w:rPr>
        <w:t> </w:t>
      </w:r>
      <w:r>
        <w:rPr>
          <w:w w:val="120"/>
        </w:rPr>
        <w:t>and</w:t>
      </w:r>
      <w:r>
        <w:rPr>
          <w:spacing w:val="-5"/>
          <w:w w:val="120"/>
        </w:rPr>
        <w:t> </w:t>
      </w:r>
      <w:r>
        <w:rPr>
          <w:w w:val="120"/>
        </w:rPr>
        <w:t>you</w:t>
      </w:r>
      <w:r>
        <w:rPr>
          <w:spacing w:val="-5"/>
          <w:w w:val="120"/>
        </w:rPr>
        <w:t> </w:t>
      </w:r>
      <w:r>
        <w:rPr>
          <w:w w:val="120"/>
        </w:rPr>
        <w:t>will</w:t>
      </w:r>
      <w:r>
        <w:rPr>
          <w:spacing w:val="-6"/>
          <w:w w:val="120"/>
        </w:rPr>
        <w:t> </w:t>
      </w:r>
      <w:r>
        <w:rPr>
          <w:w w:val="120"/>
        </w:rPr>
        <w:t>see</w:t>
      </w:r>
      <w:r>
        <w:rPr>
          <w:spacing w:val="-6"/>
          <w:w w:val="120"/>
        </w:rPr>
        <w:t> </w:t>
      </w:r>
      <w:r>
        <w:rPr>
          <w:w w:val="120"/>
        </w:rPr>
        <w:t>that</w:t>
      </w:r>
      <w:r>
        <w:rPr>
          <w:spacing w:val="-5"/>
          <w:w w:val="120"/>
        </w:rPr>
        <w:t> </w:t>
      </w:r>
      <w:r>
        <w:rPr>
          <w:w w:val="120"/>
        </w:rPr>
        <w:t>landlords</w:t>
      </w:r>
      <w:r>
        <w:rPr>
          <w:spacing w:val="-6"/>
          <w:w w:val="120"/>
        </w:rPr>
        <w:t> </w:t>
      </w:r>
      <w:r>
        <w:rPr>
          <w:w w:val="120"/>
        </w:rPr>
        <w:t>know what they are owed as past rent damages</w:t>
      </w:r>
    </w:p>
    <w:p>
      <w:pPr>
        <w:pStyle w:val="BodyText"/>
        <w:spacing w:line="290" w:lineRule="auto"/>
        <w:ind w:left="6625" w:right="186"/>
      </w:pPr>
      <w:r>
        <w:rPr>
          <w:spacing w:val="-2"/>
          <w:w w:val="120"/>
        </w:rPr>
        <w:t>are</w:t>
      </w:r>
      <w:r>
        <w:rPr>
          <w:spacing w:val="-10"/>
          <w:w w:val="120"/>
        </w:rPr>
        <w:t> </w:t>
      </w:r>
      <w:r>
        <w:rPr>
          <w:spacing w:val="-2"/>
          <w:w w:val="120"/>
        </w:rPr>
        <w:t>easily</w:t>
      </w:r>
      <w:r>
        <w:rPr>
          <w:spacing w:val="-9"/>
          <w:w w:val="120"/>
        </w:rPr>
        <w:t> </w:t>
      </w:r>
      <w:r>
        <w:rPr>
          <w:spacing w:val="-2"/>
          <w:w w:val="120"/>
        </w:rPr>
        <w:t>calculated.</w:t>
      </w:r>
      <w:r>
        <w:rPr>
          <w:spacing w:val="-10"/>
          <w:w w:val="120"/>
        </w:rPr>
        <w:t> </w:t>
      </w:r>
      <w:r>
        <w:rPr>
          <w:spacing w:val="-2"/>
          <w:w w:val="120"/>
        </w:rPr>
        <w:t>So,</w:t>
      </w:r>
      <w:r>
        <w:rPr>
          <w:spacing w:val="-9"/>
          <w:w w:val="120"/>
        </w:rPr>
        <w:t> </w:t>
      </w:r>
      <w:r>
        <w:rPr>
          <w:spacing w:val="-2"/>
          <w:w w:val="120"/>
        </w:rPr>
        <w:t>why</w:t>
      </w:r>
      <w:r>
        <w:rPr>
          <w:spacing w:val="-9"/>
          <w:w w:val="120"/>
        </w:rPr>
        <w:t> </w:t>
      </w:r>
      <w:r>
        <w:rPr>
          <w:spacing w:val="-2"/>
          <w:w w:val="120"/>
        </w:rPr>
        <w:t>do</w:t>
      </w:r>
      <w:r>
        <w:rPr>
          <w:spacing w:val="-10"/>
          <w:w w:val="120"/>
        </w:rPr>
        <w:t> </w:t>
      </w:r>
      <w:r>
        <w:rPr>
          <w:spacing w:val="-2"/>
          <w:w w:val="120"/>
        </w:rPr>
        <w:t>we</w:t>
      </w:r>
      <w:r>
        <w:rPr>
          <w:spacing w:val="-10"/>
          <w:w w:val="120"/>
        </w:rPr>
        <w:t> </w:t>
      </w:r>
      <w:r>
        <w:rPr>
          <w:spacing w:val="-2"/>
          <w:w w:val="120"/>
        </w:rPr>
        <w:t>treat </w:t>
      </w:r>
      <w:r>
        <w:rPr>
          <w:w w:val="120"/>
        </w:rPr>
        <w:t>evictions differently than other contract cases? We shouldn’t.</w:t>
      </w:r>
    </w:p>
    <w:p>
      <w:pPr>
        <w:pStyle w:val="BodyText"/>
        <w:spacing w:before="1"/>
        <w:rPr>
          <w:sz w:val="21"/>
        </w:rPr>
      </w:pPr>
    </w:p>
    <w:p>
      <w:pPr>
        <w:pStyle w:val="BodyText"/>
        <w:spacing w:line="290" w:lineRule="auto"/>
        <w:ind w:left="6625" w:right="189"/>
      </w:pPr>
      <w:r>
        <w:rPr>
          <w:w w:val="120"/>
        </w:rPr>
        <w:t>Evicting</w:t>
      </w:r>
      <w:r>
        <w:rPr>
          <w:spacing w:val="-4"/>
          <w:w w:val="120"/>
        </w:rPr>
        <w:t> </w:t>
      </w:r>
      <w:r>
        <w:rPr>
          <w:w w:val="120"/>
        </w:rPr>
        <w:t>anyone</w:t>
      </w:r>
      <w:r>
        <w:rPr>
          <w:spacing w:val="-4"/>
          <w:w w:val="120"/>
        </w:rPr>
        <w:t> </w:t>
      </w:r>
      <w:r>
        <w:rPr>
          <w:w w:val="120"/>
        </w:rPr>
        <w:t>from</w:t>
      </w:r>
      <w:r>
        <w:rPr>
          <w:spacing w:val="-3"/>
          <w:w w:val="120"/>
        </w:rPr>
        <w:t> </w:t>
      </w:r>
      <w:r>
        <w:rPr>
          <w:w w:val="120"/>
        </w:rPr>
        <w:t>their</w:t>
      </w:r>
      <w:r>
        <w:rPr>
          <w:spacing w:val="-4"/>
          <w:w w:val="120"/>
        </w:rPr>
        <w:t> </w:t>
      </w:r>
      <w:r>
        <w:rPr>
          <w:w w:val="120"/>
        </w:rPr>
        <w:t>home</w:t>
      </w:r>
      <w:r>
        <w:rPr>
          <w:spacing w:val="-4"/>
          <w:w w:val="120"/>
        </w:rPr>
        <w:t> </w:t>
      </w:r>
      <w:r>
        <w:rPr>
          <w:w w:val="120"/>
        </w:rPr>
        <w:t>negatively disrupts their lives, but removing mothers, pregnant women, and children from their homes</w:t>
      </w:r>
      <w:r>
        <w:rPr>
          <w:spacing w:val="-14"/>
          <w:w w:val="120"/>
        </w:rPr>
        <w:t> </w:t>
      </w:r>
      <w:r>
        <w:rPr>
          <w:w w:val="120"/>
        </w:rPr>
        <w:t>causes</w:t>
      </w:r>
      <w:r>
        <w:rPr>
          <w:spacing w:val="-13"/>
          <w:w w:val="120"/>
        </w:rPr>
        <w:t> </w:t>
      </w:r>
      <w:r>
        <w:rPr>
          <w:w w:val="120"/>
        </w:rPr>
        <w:t>a</w:t>
      </w:r>
      <w:r>
        <w:rPr>
          <w:spacing w:val="-14"/>
          <w:w w:val="120"/>
        </w:rPr>
        <w:t> </w:t>
      </w:r>
      <w:r>
        <w:rPr>
          <w:w w:val="120"/>
        </w:rPr>
        <w:t>particular</w:t>
      </w:r>
      <w:r>
        <w:rPr>
          <w:spacing w:val="-13"/>
          <w:w w:val="120"/>
        </w:rPr>
        <w:t> </w:t>
      </w:r>
      <w:r>
        <w:rPr>
          <w:w w:val="120"/>
        </w:rPr>
        <w:t>type</w:t>
      </w:r>
      <w:r>
        <w:rPr>
          <w:spacing w:val="-14"/>
          <w:w w:val="120"/>
        </w:rPr>
        <w:t> </w:t>
      </w:r>
      <w:r>
        <w:rPr>
          <w:w w:val="120"/>
        </w:rPr>
        <w:t>of</w:t>
      </w:r>
      <w:r>
        <w:rPr>
          <w:spacing w:val="-13"/>
          <w:w w:val="120"/>
        </w:rPr>
        <w:t> </w:t>
      </w:r>
      <w:r>
        <w:rPr>
          <w:w w:val="120"/>
        </w:rPr>
        <w:t>immediate, irreparable harm. It is time for Indiana law to reflect the reality that fast evictions are</w:t>
      </w:r>
    </w:p>
    <w:p>
      <w:pPr>
        <w:pStyle w:val="BodyText"/>
        <w:spacing w:line="290" w:lineRule="auto"/>
        <w:ind w:left="6625" w:right="345"/>
      </w:pPr>
      <w:r>
        <w:rPr>
          <w:w w:val="120"/>
        </w:rPr>
        <w:t>a traumatic misapplication of contract law in need of change with dire consequences for our most vulnerable neighbors. By comparison, imagine a homeowner that got</w:t>
      </w:r>
      <w:r>
        <w:rPr>
          <w:spacing w:val="-12"/>
          <w:w w:val="120"/>
        </w:rPr>
        <w:t> </w:t>
      </w:r>
      <w:r>
        <w:rPr>
          <w:w w:val="120"/>
        </w:rPr>
        <w:t>down</w:t>
      </w:r>
      <w:r>
        <w:rPr>
          <w:spacing w:val="-12"/>
          <w:w w:val="120"/>
        </w:rPr>
        <w:t> </w:t>
      </w:r>
      <w:r>
        <w:rPr>
          <w:w w:val="120"/>
        </w:rPr>
        <w:t>on</w:t>
      </w:r>
      <w:r>
        <w:rPr>
          <w:spacing w:val="-12"/>
          <w:w w:val="120"/>
        </w:rPr>
        <w:t> </w:t>
      </w:r>
      <w:r>
        <w:rPr>
          <w:w w:val="120"/>
        </w:rPr>
        <w:t>their</w:t>
      </w:r>
      <w:r>
        <w:rPr>
          <w:spacing w:val="-13"/>
          <w:w w:val="120"/>
        </w:rPr>
        <w:t> </w:t>
      </w:r>
      <w:r>
        <w:rPr>
          <w:w w:val="120"/>
        </w:rPr>
        <w:t>luck</w:t>
      </w:r>
      <w:r>
        <w:rPr>
          <w:spacing w:val="-12"/>
          <w:w w:val="120"/>
        </w:rPr>
        <w:t> </w:t>
      </w:r>
      <w:r>
        <w:rPr>
          <w:w w:val="120"/>
        </w:rPr>
        <w:t>and</w:t>
      </w:r>
      <w:r>
        <w:rPr>
          <w:spacing w:val="-12"/>
          <w:w w:val="120"/>
        </w:rPr>
        <w:t> </w:t>
      </w:r>
      <w:r>
        <w:rPr>
          <w:w w:val="120"/>
        </w:rPr>
        <w:t>failed</w:t>
      </w:r>
      <w:r>
        <w:rPr>
          <w:spacing w:val="-12"/>
          <w:w w:val="120"/>
        </w:rPr>
        <w:t> </w:t>
      </w:r>
      <w:r>
        <w:rPr>
          <w:w w:val="120"/>
        </w:rPr>
        <w:t>to</w:t>
      </w:r>
      <w:r>
        <w:rPr>
          <w:spacing w:val="-13"/>
          <w:w w:val="120"/>
        </w:rPr>
        <w:t> </w:t>
      </w:r>
      <w:r>
        <w:rPr>
          <w:w w:val="120"/>
        </w:rPr>
        <w:t>make</w:t>
      </w:r>
      <w:r>
        <w:rPr>
          <w:spacing w:val="-13"/>
          <w:w w:val="120"/>
        </w:rPr>
        <w:t> </w:t>
      </w:r>
      <w:r>
        <w:rPr>
          <w:w w:val="120"/>
        </w:rPr>
        <w:t>a</w:t>
      </w:r>
    </w:p>
    <w:p>
      <w:pPr>
        <w:pStyle w:val="BodyText"/>
        <w:spacing w:line="290" w:lineRule="auto"/>
        <w:ind w:left="6625" w:right="186"/>
        <w:rPr>
          <w:sz w:val="10"/>
        </w:rPr>
      </w:pPr>
      <w:r>
        <w:rPr>
          <w:w w:val="120"/>
        </w:rPr>
        <w:t>mortgage</w:t>
      </w:r>
      <w:r>
        <w:rPr>
          <w:spacing w:val="-12"/>
          <w:w w:val="120"/>
        </w:rPr>
        <w:t> </w:t>
      </w:r>
      <w:r>
        <w:rPr>
          <w:w w:val="120"/>
        </w:rPr>
        <w:t>payment.</w:t>
      </w:r>
      <w:r>
        <w:rPr>
          <w:spacing w:val="-12"/>
          <w:w w:val="120"/>
        </w:rPr>
        <w:t> </w:t>
      </w:r>
      <w:r>
        <w:rPr>
          <w:w w:val="120"/>
        </w:rPr>
        <w:t>It</w:t>
      </w:r>
      <w:r>
        <w:rPr>
          <w:spacing w:val="-11"/>
          <w:w w:val="120"/>
        </w:rPr>
        <w:t> </w:t>
      </w:r>
      <w:r>
        <w:rPr>
          <w:w w:val="120"/>
        </w:rPr>
        <w:t>would</w:t>
      </w:r>
      <w:r>
        <w:rPr>
          <w:spacing w:val="-11"/>
          <w:w w:val="120"/>
        </w:rPr>
        <w:t> </w:t>
      </w:r>
      <w:r>
        <w:rPr>
          <w:w w:val="120"/>
        </w:rPr>
        <w:t>be</w:t>
      </w:r>
      <w:r>
        <w:rPr>
          <w:spacing w:val="-12"/>
          <w:w w:val="120"/>
        </w:rPr>
        <w:t> </w:t>
      </w:r>
      <w:r>
        <w:rPr>
          <w:w w:val="120"/>
        </w:rPr>
        <w:t>absurd</w:t>
      </w:r>
      <w:r>
        <w:rPr>
          <w:spacing w:val="-11"/>
          <w:w w:val="120"/>
        </w:rPr>
        <w:t> </w:t>
      </w:r>
      <w:r>
        <w:rPr>
          <w:w w:val="120"/>
        </w:rPr>
        <w:t>if</w:t>
      </w:r>
      <w:r>
        <w:rPr>
          <w:spacing w:val="-12"/>
          <w:w w:val="120"/>
        </w:rPr>
        <w:t> </w:t>
      </w:r>
      <w:r>
        <w:rPr>
          <w:w w:val="120"/>
        </w:rPr>
        <w:t>the bank</w:t>
      </w:r>
      <w:r>
        <w:rPr>
          <w:spacing w:val="-10"/>
          <w:w w:val="120"/>
        </w:rPr>
        <w:t> </w:t>
      </w:r>
      <w:r>
        <w:rPr>
          <w:w w:val="120"/>
        </w:rPr>
        <w:t>came</w:t>
      </w:r>
      <w:r>
        <w:rPr>
          <w:spacing w:val="-11"/>
          <w:w w:val="120"/>
        </w:rPr>
        <w:t> </w:t>
      </w:r>
      <w:r>
        <w:rPr>
          <w:w w:val="120"/>
        </w:rPr>
        <w:t>to</w:t>
      </w:r>
      <w:r>
        <w:rPr>
          <w:spacing w:val="-11"/>
          <w:w w:val="120"/>
        </w:rPr>
        <w:t> </w:t>
      </w:r>
      <w:r>
        <w:rPr>
          <w:w w:val="120"/>
        </w:rPr>
        <w:t>court</w:t>
      </w:r>
      <w:r>
        <w:rPr>
          <w:spacing w:val="-10"/>
          <w:w w:val="120"/>
        </w:rPr>
        <w:t> </w:t>
      </w:r>
      <w:r>
        <w:rPr>
          <w:w w:val="120"/>
        </w:rPr>
        <w:t>ten</w:t>
      </w:r>
      <w:r>
        <w:rPr>
          <w:spacing w:val="-10"/>
          <w:w w:val="120"/>
        </w:rPr>
        <w:t> </w:t>
      </w:r>
      <w:r>
        <w:rPr>
          <w:w w:val="120"/>
        </w:rPr>
        <w:t>days</w:t>
      </w:r>
      <w:r>
        <w:rPr>
          <w:spacing w:val="-11"/>
          <w:w w:val="120"/>
        </w:rPr>
        <w:t> </w:t>
      </w:r>
      <w:r>
        <w:rPr>
          <w:w w:val="120"/>
        </w:rPr>
        <w:t>after</w:t>
      </w:r>
      <w:r>
        <w:rPr>
          <w:spacing w:val="-11"/>
          <w:w w:val="120"/>
        </w:rPr>
        <w:t> </w:t>
      </w:r>
      <w:r>
        <w:rPr>
          <w:w w:val="120"/>
        </w:rPr>
        <w:t>the</w:t>
      </w:r>
      <w:r>
        <w:rPr>
          <w:spacing w:val="-11"/>
          <w:w w:val="120"/>
        </w:rPr>
        <w:t> </w:t>
      </w:r>
      <w:r>
        <w:rPr>
          <w:w w:val="120"/>
        </w:rPr>
        <w:t>missed payment, seeking immediate possession of the home. But landlords can.</w:t>
      </w:r>
      <w:r>
        <w:rPr>
          <w:w w:val="120"/>
          <w:position w:val="6"/>
          <w:sz w:val="10"/>
        </w:rPr>
        <w:t>1</w:t>
      </w:r>
    </w:p>
    <w:p>
      <w:pPr>
        <w:pStyle w:val="BodyText"/>
        <w:spacing w:before="2"/>
        <w:rPr>
          <w:sz w:val="21"/>
        </w:rPr>
      </w:pPr>
    </w:p>
    <w:p>
      <w:pPr>
        <w:pStyle w:val="BodyText"/>
        <w:spacing w:line="290" w:lineRule="auto"/>
        <w:ind w:left="6625" w:right="233"/>
      </w:pPr>
      <w:r>
        <w:rPr>
          <w:w w:val="120"/>
        </w:rPr>
        <w:t>For such extreme relief in other contract disputes, the burden would be on the movant</w:t>
      </w:r>
      <w:r>
        <w:rPr>
          <w:spacing w:val="-11"/>
          <w:w w:val="120"/>
        </w:rPr>
        <w:t> </w:t>
      </w:r>
      <w:r>
        <w:rPr>
          <w:w w:val="120"/>
        </w:rPr>
        <w:t>to</w:t>
      </w:r>
      <w:r>
        <w:rPr>
          <w:spacing w:val="-12"/>
          <w:w w:val="120"/>
        </w:rPr>
        <w:t> </w:t>
      </w:r>
      <w:r>
        <w:rPr>
          <w:w w:val="120"/>
        </w:rPr>
        <w:t>meet</w:t>
      </w:r>
      <w:r>
        <w:rPr>
          <w:spacing w:val="-11"/>
          <w:w w:val="120"/>
        </w:rPr>
        <w:t> </w:t>
      </w:r>
      <w:r>
        <w:rPr>
          <w:w w:val="120"/>
        </w:rPr>
        <w:t>the</w:t>
      </w:r>
      <w:r>
        <w:rPr>
          <w:spacing w:val="-12"/>
          <w:w w:val="120"/>
        </w:rPr>
        <w:t> </w:t>
      </w:r>
      <w:r>
        <w:rPr>
          <w:w w:val="120"/>
        </w:rPr>
        <w:t>significant</w:t>
      </w:r>
      <w:r>
        <w:rPr>
          <w:spacing w:val="-11"/>
          <w:w w:val="120"/>
        </w:rPr>
        <w:t> </w:t>
      </w:r>
      <w:r>
        <w:rPr>
          <w:w w:val="120"/>
        </w:rPr>
        <w:t>burden</w:t>
      </w:r>
      <w:r>
        <w:rPr>
          <w:spacing w:val="-11"/>
          <w:w w:val="120"/>
        </w:rPr>
        <w:t> </w:t>
      </w:r>
      <w:r>
        <w:rPr>
          <w:w w:val="120"/>
        </w:rPr>
        <w:t>for</w:t>
      </w:r>
    </w:p>
    <w:p>
      <w:pPr>
        <w:spacing w:after="0" w:line="290" w:lineRule="auto"/>
        <w:sectPr>
          <w:footerReference w:type="even" r:id="rId5"/>
          <w:footerReference w:type="default" r:id="rId6"/>
          <w:type w:val="continuous"/>
          <w:pgSz w:w="12060" w:h="15660"/>
          <w:pgMar w:footer="972" w:header="0" w:top="1060" w:bottom="1160" w:left="740" w:right="660"/>
          <w:pgNumType w:start="18"/>
        </w:sectPr>
      </w:pPr>
    </w:p>
    <w:p>
      <w:pPr>
        <w:pStyle w:val="BodyText"/>
        <w:spacing w:line="290" w:lineRule="auto" w:before="84"/>
        <w:ind w:left="110" w:right="294"/>
      </w:pPr>
      <w:r>
        <w:rPr>
          <w:w w:val="120"/>
        </w:rPr>
        <w:t>a</w:t>
      </w:r>
      <w:r>
        <w:rPr>
          <w:spacing w:val="-14"/>
          <w:w w:val="120"/>
        </w:rPr>
        <w:t> </w:t>
      </w:r>
      <w:r>
        <w:rPr>
          <w:w w:val="120"/>
        </w:rPr>
        <w:t>preliminary</w:t>
      </w:r>
      <w:r>
        <w:rPr>
          <w:spacing w:val="-13"/>
          <w:w w:val="120"/>
        </w:rPr>
        <w:t> </w:t>
      </w:r>
      <w:r>
        <w:rPr>
          <w:w w:val="120"/>
        </w:rPr>
        <w:t>injunction:</w:t>
      </w:r>
      <w:r>
        <w:rPr>
          <w:spacing w:val="-14"/>
          <w:w w:val="120"/>
        </w:rPr>
        <w:t> </w:t>
      </w:r>
      <w:r>
        <w:rPr>
          <w:w w:val="120"/>
        </w:rPr>
        <w:t>(1)</w:t>
      </w:r>
      <w:r>
        <w:rPr>
          <w:spacing w:val="-13"/>
          <w:w w:val="120"/>
        </w:rPr>
        <w:t> </w:t>
      </w:r>
      <w:r>
        <w:rPr>
          <w:w w:val="120"/>
        </w:rPr>
        <w:t>there is no adequate remedy available at law, (2) the equitable remedy</w:t>
      </w:r>
    </w:p>
    <w:p>
      <w:pPr>
        <w:pStyle w:val="BodyText"/>
        <w:spacing w:line="290" w:lineRule="auto"/>
        <w:ind w:left="110" w:right="188"/>
      </w:pPr>
      <w:r>
        <w:rPr>
          <w:w w:val="120"/>
        </w:rPr>
        <w:t>is not a disservice to the public, and</w:t>
      </w:r>
      <w:r>
        <w:rPr>
          <w:spacing w:val="-14"/>
          <w:w w:val="120"/>
        </w:rPr>
        <w:t> </w:t>
      </w:r>
      <w:r>
        <w:rPr>
          <w:w w:val="120"/>
        </w:rPr>
        <w:t>(3)</w:t>
      </w:r>
      <w:r>
        <w:rPr>
          <w:spacing w:val="-13"/>
          <w:w w:val="120"/>
        </w:rPr>
        <w:t> </w:t>
      </w:r>
      <w:r>
        <w:rPr>
          <w:w w:val="120"/>
        </w:rPr>
        <w:t>a</w:t>
      </w:r>
      <w:r>
        <w:rPr>
          <w:spacing w:val="-14"/>
          <w:w w:val="120"/>
        </w:rPr>
        <w:t> </w:t>
      </w:r>
      <w:r>
        <w:rPr>
          <w:w w:val="120"/>
        </w:rPr>
        <w:t>balancing</w:t>
      </w:r>
      <w:r>
        <w:rPr>
          <w:spacing w:val="-13"/>
          <w:w w:val="120"/>
        </w:rPr>
        <w:t> </w:t>
      </w:r>
      <w:r>
        <w:rPr>
          <w:w w:val="120"/>
        </w:rPr>
        <w:t>of</w:t>
      </w:r>
      <w:r>
        <w:rPr>
          <w:spacing w:val="-14"/>
          <w:w w:val="120"/>
        </w:rPr>
        <w:t> </w:t>
      </w:r>
      <w:r>
        <w:rPr>
          <w:w w:val="120"/>
        </w:rPr>
        <w:t>equities</w:t>
      </w:r>
      <w:r>
        <w:rPr>
          <w:spacing w:val="-13"/>
          <w:w w:val="120"/>
        </w:rPr>
        <w:t> </w:t>
      </w:r>
      <w:r>
        <w:rPr>
          <w:w w:val="120"/>
        </w:rPr>
        <w:t>and</w:t>
      </w:r>
    </w:p>
    <w:p>
      <w:pPr>
        <w:pStyle w:val="BodyText"/>
        <w:spacing w:line="290" w:lineRule="auto"/>
        <w:ind w:left="110" w:right="3"/>
      </w:pPr>
      <w:r>
        <w:rPr>
          <w:w w:val="120"/>
        </w:rPr>
        <w:t>relative</w:t>
      </w:r>
      <w:r>
        <w:rPr>
          <w:spacing w:val="-14"/>
          <w:w w:val="120"/>
        </w:rPr>
        <w:t> </w:t>
      </w:r>
      <w:r>
        <w:rPr>
          <w:w w:val="120"/>
        </w:rPr>
        <w:t>harm</w:t>
      </w:r>
      <w:r>
        <w:rPr>
          <w:spacing w:val="-13"/>
          <w:w w:val="120"/>
        </w:rPr>
        <w:t> </w:t>
      </w:r>
      <w:r>
        <w:rPr>
          <w:w w:val="120"/>
        </w:rPr>
        <w:t>to</w:t>
      </w:r>
      <w:r>
        <w:rPr>
          <w:spacing w:val="-14"/>
          <w:w w:val="120"/>
        </w:rPr>
        <w:t> </w:t>
      </w:r>
      <w:r>
        <w:rPr>
          <w:w w:val="120"/>
        </w:rPr>
        <w:t>each</w:t>
      </w:r>
      <w:r>
        <w:rPr>
          <w:spacing w:val="-13"/>
          <w:w w:val="120"/>
        </w:rPr>
        <w:t> </w:t>
      </w:r>
      <w:r>
        <w:rPr>
          <w:w w:val="120"/>
        </w:rPr>
        <w:t>party.</w:t>
      </w:r>
      <w:r>
        <w:rPr>
          <w:w w:val="120"/>
          <w:position w:val="6"/>
          <w:sz w:val="10"/>
        </w:rPr>
        <w:t>2</w:t>
      </w:r>
      <w:r>
        <w:rPr>
          <w:spacing w:val="29"/>
          <w:w w:val="120"/>
          <w:position w:val="6"/>
          <w:sz w:val="10"/>
        </w:rPr>
        <w:t> </w:t>
      </w:r>
      <w:r>
        <w:rPr>
          <w:w w:val="120"/>
        </w:rPr>
        <w:t>Specific performance of a contract, the functional equivalent to evictions,</w:t>
      </w:r>
    </w:p>
    <w:p>
      <w:pPr>
        <w:pStyle w:val="BodyText"/>
        <w:spacing w:line="290" w:lineRule="auto"/>
        <w:ind w:left="110" w:right="3"/>
      </w:pPr>
      <w:r>
        <w:rPr/>
        <w:drawing>
          <wp:anchor distT="0" distB="0" distL="0" distR="0" allowOverlap="1" layoutInCell="1" locked="0" behindDoc="0" simplePos="0" relativeHeight="15730176">
            <wp:simplePos x="0" y="0"/>
            <wp:positionH relativeFrom="page">
              <wp:posOffset>2772398</wp:posOffset>
            </wp:positionH>
            <wp:positionV relativeFrom="paragraph">
              <wp:posOffset>519897</wp:posOffset>
            </wp:positionV>
            <wp:extent cx="4158042" cy="6342777"/>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4158042" cy="6342777"/>
                    </a:xfrm>
                    <a:prstGeom prst="rect">
                      <a:avLst/>
                    </a:prstGeom>
                  </pic:spPr>
                </pic:pic>
              </a:graphicData>
            </a:graphic>
          </wp:anchor>
        </w:drawing>
      </w:r>
      <w:r>
        <w:rPr>
          <w:w w:val="120"/>
        </w:rPr>
        <w:t>is an equitable remedy, and the power of a court to compel such a remedy is an extraordinary one. Whether you reframe evictions as a form of injunctive relief or specific performance,</w:t>
      </w:r>
      <w:r>
        <w:rPr>
          <w:spacing w:val="-14"/>
          <w:w w:val="120"/>
        </w:rPr>
        <w:t> </w:t>
      </w:r>
      <w:r>
        <w:rPr>
          <w:w w:val="120"/>
        </w:rPr>
        <w:t>the</w:t>
      </w:r>
      <w:r>
        <w:rPr>
          <w:spacing w:val="-13"/>
          <w:w w:val="120"/>
        </w:rPr>
        <w:t> </w:t>
      </w:r>
      <w:r>
        <w:rPr>
          <w:w w:val="120"/>
        </w:rPr>
        <w:t>bar,</w:t>
      </w:r>
      <w:r>
        <w:rPr>
          <w:spacing w:val="-14"/>
          <w:w w:val="120"/>
        </w:rPr>
        <w:t> </w:t>
      </w:r>
      <w:r>
        <w:rPr>
          <w:w w:val="120"/>
        </w:rPr>
        <w:t>unlike</w:t>
      </w:r>
      <w:r>
        <w:rPr>
          <w:spacing w:val="-13"/>
          <w:w w:val="120"/>
        </w:rPr>
        <w:t> </w:t>
      </w:r>
      <w:r>
        <w:rPr>
          <w:w w:val="120"/>
        </w:rPr>
        <w:t>eviction proceedings, is a high one to meet.</w:t>
      </w:r>
    </w:p>
    <w:p>
      <w:pPr>
        <w:pStyle w:val="BodyText"/>
        <w:spacing w:before="1"/>
        <w:rPr>
          <w:sz w:val="21"/>
        </w:rPr>
      </w:pPr>
    </w:p>
    <w:p>
      <w:pPr>
        <w:pStyle w:val="Heading2"/>
      </w:pPr>
      <w:r>
        <w:rPr>
          <w:color w:val="3B9DD7"/>
        </w:rPr>
        <w:t>ADEQUACY</w:t>
      </w:r>
      <w:r>
        <w:rPr>
          <w:color w:val="3B9DD7"/>
          <w:spacing w:val="6"/>
        </w:rPr>
        <w:t> </w:t>
      </w:r>
      <w:r>
        <w:rPr>
          <w:color w:val="3B9DD7"/>
        </w:rPr>
        <w:t>OF</w:t>
      </w:r>
      <w:r>
        <w:rPr>
          <w:color w:val="3B9DD7"/>
          <w:spacing w:val="7"/>
        </w:rPr>
        <w:t> </w:t>
      </w:r>
      <w:r>
        <w:rPr>
          <w:color w:val="3B9DD7"/>
          <w:spacing w:val="-2"/>
        </w:rPr>
        <w:t>REMEDY</w:t>
      </w:r>
    </w:p>
    <w:p>
      <w:pPr>
        <w:pStyle w:val="BodyText"/>
        <w:spacing w:before="6"/>
        <w:rPr>
          <w:rFonts w:ascii="Arial"/>
          <w:b/>
          <w:sz w:val="25"/>
        </w:rPr>
      </w:pPr>
    </w:p>
    <w:p>
      <w:pPr>
        <w:pStyle w:val="BodyText"/>
        <w:spacing w:line="290" w:lineRule="auto"/>
        <w:ind w:left="110" w:right="157"/>
      </w:pPr>
      <w:r>
        <w:rPr>
          <w:w w:val="120"/>
        </w:rPr>
        <w:t>In </w:t>
      </w:r>
      <w:r>
        <w:rPr>
          <w:i/>
          <w:w w:val="120"/>
        </w:rPr>
        <w:t>Norlund v. Faust</w:t>
      </w:r>
      <w:r>
        <w:rPr>
          <w:w w:val="120"/>
        </w:rPr>
        <w:t>, the Indiana Court of Appeals upheld a preliminary injunction, generally an</w:t>
      </w:r>
      <w:r>
        <w:rPr>
          <w:spacing w:val="-6"/>
          <w:w w:val="120"/>
        </w:rPr>
        <w:t> </w:t>
      </w:r>
      <w:r>
        <w:rPr>
          <w:w w:val="120"/>
        </w:rPr>
        <w:t>extraordinary</w:t>
      </w:r>
      <w:r>
        <w:rPr>
          <w:spacing w:val="-6"/>
          <w:w w:val="120"/>
        </w:rPr>
        <w:t> </w:t>
      </w:r>
      <w:r>
        <w:rPr>
          <w:w w:val="120"/>
        </w:rPr>
        <w:t>remedy</w:t>
      </w:r>
      <w:r>
        <w:rPr>
          <w:spacing w:val="-6"/>
          <w:w w:val="120"/>
        </w:rPr>
        <w:t> </w:t>
      </w:r>
      <w:r>
        <w:rPr>
          <w:w w:val="120"/>
        </w:rPr>
        <w:t>because</w:t>
      </w:r>
      <w:r>
        <w:rPr>
          <w:spacing w:val="-7"/>
          <w:w w:val="120"/>
        </w:rPr>
        <w:t> </w:t>
      </w:r>
      <w:r>
        <w:rPr>
          <w:w w:val="120"/>
        </w:rPr>
        <w:t>it would</w:t>
      </w:r>
      <w:r>
        <w:rPr>
          <w:spacing w:val="-14"/>
          <w:w w:val="120"/>
        </w:rPr>
        <w:t> </w:t>
      </w:r>
      <w:r>
        <w:rPr>
          <w:w w:val="120"/>
        </w:rPr>
        <w:t>be</w:t>
      </w:r>
      <w:r>
        <w:rPr>
          <w:spacing w:val="-13"/>
          <w:w w:val="120"/>
        </w:rPr>
        <w:t> </w:t>
      </w:r>
      <w:r>
        <w:rPr>
          <w:w w:val="120"/>
        </w:rPr>
        <w:t>“pure</w:t>
      </w:r>
      <w:r>
        <w:rPr>
          <w:spacing w:val="-14"/>
          <w:w w:val="120"/>
        </w:rPr>
        <w:t> </w:t>
      </w:r>
      <w:r>
        <w:rPr>
          <w:w w:val="120"/>
        </w:rPr>
        <w:t>speculation</w:t>
      </w:r>
      <w:r>
        <w:rPr>
          <w:spacing w:val="-13"/>
          <w:w w:val="120"/>
        </w:rPr>
        <w:t> </w:t>
      </w:r>
      <w:r>
        <w:rPr>
          <w:w w:val="120"/>
        </w:rPr>
        <w:t>to</w:t>
      </w:r>
      <w:r>
        <w:rPr>
          <w:spacing w:val="-14"/>
          <w:w w:val="120"/>
        </w:rPr>
        <w:t> </w:t>
      </w:r>
      <w:r>
        <w:rPr>
          <w:w w:val="120"/>
        </w:rPr>
        <w:t>place a dollar amount on the damages” caused by the breach of a non- compete</w:t>
      </w:r>
      <w:r>
        <w:rPr>
          <w:spacing w:val="-14"/>
          <w:w w:val="120"/>
        </w:rPr>
        <w:t> </w:t>
      </w:r>
      <w:r>
        <w:rPr>
          <w:w w:val="120"/>
        </w:rPr>
        <w:t>clause.</w:t>
      </w:r>
      <w:r>
        <w:rPr>
          <w:w w:val="120"/>
          <w:position w:val="6"/>
          <w:sz w:val="10"/>
        </w:rPr>
        <w:t>3</w:t>
      </w:r>
      <w:r>
        <w:rPr>
          <w:spacing w:val="29"/>
          <w:w w:val="120"/>
          <w:position w:val="6"/>
          <w:sz w:val="10"/>
        </w:rPr>
        <w:t> </w:t>
      </w:r>
      <w:r>
        <w:rPr>
          <w:w w:val="120"/>
        </w:rPr>
        <w:t>But</w:t>
      </w:r>
      <w:r>
        <w:rPr>
          <w:spacing w:val="-13"/>
          <w:w w:val="120"/>
        </w:rPr>
        <w:t> </w:t>
      </w:r>
      <w:r>
        <w:rPr>
          <w:w w:val="120"/>
        </w:rPr>
        <w:t>the</w:t>
      </w:r>
      <w:r>
        <w:rPr>
          <w:spacing w:val="-14"/>
          <w:w w:val="120"/>
        </w:rPr>
        <w:t> </w:t>
      </w:r>
      <w:r>
        <w:rPr>
          <w:w w:val="120"/>
        </w:rPr>
        <w:t>court</w:t>
      </w:r>
      <w:r>
        <w:rPr>
          <w:spacing w:val="-13"/>
          <w:w w:val="120"/>
        </w:rPr>
        <w:t> </w:t>
      </w:r>
      <w:r>
        <w:rPr>
          <w:w w:val="120"/>
        </w:rPr>
        <w:t>goes on to make it clear that if a party seeking equitable relief “could point</w:t>
      </w:r>
      <w:r>
        <w:rPr>
          <w:spacing w:val="-4"/>
          <w:w w:val="120"/>
        </w:rPr>
        <w:t> </w:t>
      </w:r>
      <w:r>
        <w:rPr>
          <w:w w:val="120"/>
        </w:rPr>
        <w:t>to</w:t>
      </w:r>
      <w:r>
        <w:rPr>
          <w:spacing w:val="-5"/>
          <w:w w:val="120"/>
        </w:rPr>
        <w:t> </w:t>
      </w:r>
      <w:r>
        <w:rPr>
          <w:w w:val="120"/>
        </w:rPr>
        <w:t>a</w:t>
      </w:r>
      <w:r>
        <w:rPr>
          <w:spacing w:val="-4"/>
          <w:w w:val="120"/>
        </w:rPr>
        <w:t> </w:t>
      </w:r>
      <w:r>
        <w:rPr>
          <w:w w:val="120"/>
        </w:rPr>
        <w:t>specific</w:t>
      </w:r>
      <w:r>
        <w:rPr>
          <w:spacing w:val="-5"/>
          <w:w w:val="120"/>
        </w:rPr>
        <w:t> </w:t>
      </w:r>
      <w:r>
        <w:rPr>
          <w:w w:val="120"/>
        </w:rPr>
        <w:t>dollar</w:t>
      </w:r>
      <w:r>
        <w:rPr>
          <w:spacing w:val="-5"/>
          <w:w w:val="120"/>
        </w:rPr>
        <w:t> </w:t>
      </w:r>
      <w:r>
        <w:rPr>
          <w:w w:val="120"/>
        </w:rPr>
        <w:t>amount</w:t>
      </w:r>
      <w:r>
        <w:rPr>
          <w:spacing w:val="-4"/>
          <w:w w:val="120"/>
        </w:rPr>
        <w:t> </w:t>
      </w:r>
      <w:r>
        <w:rPr>
          <w:w w:val="120"/>
        </w:rPr>
        <w:t>of losses,</w:t>
      </w:r>
      <w:r>
        <w:rPr>
          <w:spacing w:val="-1"/>
          <w:w w:val="120"/>
        </w:rPr>
        <w:t> </w:t>
      </w:r>
      <w:r>
        <w:rPr>
          <w:w w:val="120"/>
        </w:rPr>
        <w:t>then</w:t>
      </w:r>
      <w:r>
        <w:rPr>
          <w:spacing w:val="-1"/>
          <w:w w:val="120"/>
        </w:rPr>
        <w:t> </w:t>
      </w:r>
      <w:r>
        <w:rPr>
          <w:w w:val="120"/>
        </w:rPr>
        <w:t>a</w:t>
      </w:r>
      <w:r>
        <w:rPr>
          <w:spacing w:val="-1"/>
          <w:w w:val="120"/>
        </w:rPr>
        <w:t> </w:t>
      </w:r>
      <w:r>
        <w:rPr>
          <w:w w:val="120"/>
        </w:rPr>
        <w:t>remedy</w:t>
      </w:r>
      <w:r>
        <w:rPr>
          <w:spacing w:val="-1"/>
          <w:w w:val="120"/>
        </w:rPr>
        <w:t> </w:t>
      </w:r>
      <w:r>
        <w:rPr>
          <w:w w:val="120"/>
        </w:rPr>
        <w:t>at</w:t>
      </w:r>
      <w:r>
        <w:rPr>
          <w:spacing w:val="-1"/>
          <w:w w:val="120"/>
        </w:rPr>
        <w:t> </w:t>
      </w:r>
      <w:r>
        <w:rPr>
          <w:w w:val="120"/>
        </w:rPr>
        <w:t>law</w:t>
      </w:r>
      <w:r>
        <w:rPr>
          <w:spacing w:val="-1"/>
          <w:w w:val="120"/>
        </w:rPr>
        <w:t> </w:t>
      </w:r>
      <w:r>
        <w:rPr>
          <w:w w:val="120"/>
        </w:rPr>
        <w:t>would be sufficient.”</w:t>
      </w:r>
      <w:r>
        <w:rPr>
          <w:w w:val="120"/>
          <w:position w:val="6"/>
          <w:sz w:val="10"/>
        </w:rPr>
        <w:t>4</w:t>
      </w:r>
      <w:r>
        <w:rPr>
          <w:spacing w:val="80"/>
          <w:w w:val="120"/>
          <w:position w:val="6"/>
          <w:sz w:val="10"/>
        </w:rPr>
        <w:t> </w:t>
      </w:r>
      <w:r>
        <w:rPr>
          <w:w w:val="120"/>
        </w:rPr>
        <w:t>This article in no way stands for the proposition</w:t>
      </w:r>
    </w:p>
    <w:p>
      <w:pPr>
        <w:pStyle w:val="BodyText"/>
        <w:spacing w:line="290" w:lineRule="auto"/>
        <w:ind w:left="110" w:right="188"/>
      </w:pPr>
      <w:r>
        <w:rPr>
          <w:spacing w:val="-2"/>
          <w:w w:val="120"/>
        </w:rPr>
        <w:t>that</w:t>
      </w:r>
      <w:r>
        <w:rPr>
          <w:spacing w:val="-9"/>
          <w:w w:val="120"/>
        </w:rPr>
        <w:t> </w:t>
      </w:r>
      <w:r>
        <w:rPr>
          <w:spacing w:val="-2"/>
          <w:w w:val="120"/>
        </w:rPr>
        <w:t>economic</w:t>
      </w:r>
      <w:r>
        <w:rPr>
          <w:spacing w:val="-10"/>
          <w:w w:val="120"/>
        </w:rPr>
        <w:t> </w:t>
      </w:r>
      <w:r>
        <w:rPr>
          <w:spacing w:val="-2"/>
          <w:w w:val="120"/>
        </w:rPr>
        <w:t>losses</w:t>
      </w:r>
      <w:r>
        <w:rPr>
          <w:spacing w:val="-10"/>
          <w:w w:val="120"/>
        </w:rPr>
        <w:t> </w:t>
      </w:r>
      <w:r>
        <w:rPr>
          <w:spacing w:val="-2"/>
          <w:w w:val="120"/>
        </w:rPr>
        <w:t>are</w:t>
      </w:r>
      <w:r>
        <w:rPr>
          <w:spacing w:val="-10"/>
          <w:w w:val="120"/>
        </w:rPr>
        <w:t> </w:t>
      </w:r>
      <w:r>
        <w:rPr>
          <w:spacing w:val="-2"/>
          <w:w w:val="120"/>
        </w:rPr>
        <w:t>somehow </w:t>
      </w:r>
      <w:r>
        <w:rPr>
          <w:w w:val="125"/>
        </w:rPr>
        <w:t>unimportant or irrelevant as to </w:t>
      </w:r>
      <w:r>
        <w:rPr>
          <w:spacing w:val="-2"/>
          <w:w w:val="125"/>
        </w:rPr>
        <w:t>whether</w:t>
      </w:r>
      <w:r>
        <w:rPr>
          <w:spacing w:val="-11"/>
          <w:w w:val="125"/>
        </w:rPr>
        <w:t> </w:t>
      </w:r>
      <w:r>
        <w:rPr>
          <w:spacing w:val="-2"/>
          <w:w w:val="125"/>
        </w:rPr>
        <w:t>an</w:t>
      </w:r>
      <w:r>
        <w:rPr>
          <w:spacing w:val="-10"/>
          <w:w w:val="125"/>
        </w:rPr>
        <w:t> </w:t>
      </w:r>
      <w:r>
        <w:rPr>
          <w:spacing w:val="-2"/>
          <w:w w:val="125"/>
        </w:rPr>
        <w:t>eviction</w:t>
      </w:r>
      <w:r>
        <w:rPr>
          <w:spacing w:val="-10"/>
          <w:w w:val="125"/>
        </w:rPr>
        <w:t> </w:t>
      </w:r>
      <w:r>
        <w:rPr>
          <w:spacing w:val="-2"/>
          <w:w w:val="125"/>
        </w:rPr>
        <w:t>is</w:t>
      </w:r>
      <w:r>
        <w:rPr>
          <w:spacing w:val="-11"/>
          <w:w w:val="125"/>
        </w:rPr>
        <w:t> </w:t>
      </w:r>
      <w:r>
        <w:rPr>
          <w:spacing w:val="-2"/>
          <w:w w:val="125"/>
        </w:rPr>
        <w:t>warranted.</w:t>
      </w:r>
    </w:p>
    <w:p>
      <w:pPr>
        <w:pStyle w:val="BodyText"/>
        <w:spacing w:line="206" w:lineRule="exact"/>
        <w:ind w:left="110"/>
      </w:pPr>
      <w:r>
        <w:rPr>
          <w:w w:val="120"/>
        </w:rPr>
        <w:t>Rather,</w:t>
      </w:r>
      <w:r>
        <w:rPr>
          <w:spacing w:val="-9"/>
          <w:w w:val="120"/>
        </w:rPr>
        <w:t> </w:t>
      </w:r>
      <w:r>
        <w:rPr>
          <w:w w:val="120"/>
        </w:rPr>
        <w:t>the</w:t>
      </w:r>
      <w:r>
        <w:rPr>
          <w:spacing w:val="-10"/>
          <w:w w:val="120"/>
        </w:rPr>
        <w:t> </w:t>
      </w:r>
      <w:r>
        <w:rPr>
          <w:w w:val="120"/>
        </w:rPr>
        <w:t>harm</w:t>
      </w:r>
      <w:r>
        <w:rPr>
          <w:spacing w:val="-9"/>
          <w:w w:val="120"/>
        </w:rPr>
        <w:t> </w:t>
      </w:r>
      <w:r>
        <w:rPr>
          <w:w w:val="120"/>
        </w:rPr>
        <w:t>is</w:t>
      </w:r>
      <w:r>
        <w:rPr>
          <w:spacing w:val="-10"/>
          <w:w w:val="120"/>
        </w:rPr>
        <w:t> </w:t>
      </w:r>
      <w:r>
        <w:rPr>
          <w:w w:val="120"/>
        </w:rPr>
        <w:t>so</w:t>
      </w:r>
      <w:r>
        <w:rPr>
          <w:spacing w:val="-10"/>
          <w:w w:val="120"/>
        </w:rPr>
        <w:t> </w:t>
      </w:r>
      <w:r>
        <w:rPr>
          <w:w w:val="120"/>
        </w:rPr>
        <w:t>clear</w:t>
      </w:r>
      <w:r>
        <w:rPr>
          <w:spacing w:val="-10"/>
          <w:w w:val="120"/>
        </w:rPr>
        <w:t> </w:t>
      </w:r>
      <w:r>
        <w:rPr>
          <w:spacing w:val="-4"/>
          <w:w w:val="120"/>
        </w:rPr>
        <w:t>that</w:t>
      </w:r>
    </w:p>
    <w:p>
      <w:pPr>
        <w:pStyle w:val="BodyText"/>
        <w:spacing w:line="290" w:lineRule="auto" w:before="37"/>
        <w:ind w:left="110" w:right="3"/>
      </w:pPr>
      <w:r>
        <w:rPr>
          <w:w w:val="120"/>
        </w:rPr>
        <w:t>it can be quantified with enough </w:t>
      </w:r>
      <w:r>
        <w:rPr>
          <w:spacing w:val="-2"/>
          <w:w w:val="120"/>
        </w:rPr>
        <w:t>specificity</w:t>
      </w:r>
      <w:r>
        <w:rPr>
          <w:spacing w:val="-12"/>
          <w:w w:val="120"/>
        </w:rPr>
        <w:t> </w:t>
      </w:r>
      <w:r>
        <w:rPr>
          <w:spacing w:val="-2"/>
          <w:w w:val="120"/>
        </w:rPr>
        <w:t>to</w:t>
      </w:r>
      <w:r>
        <w:rPr>
          <w:spacing w:val="-11"/>
          <w:w w:val="120"/>
        </w:rPr>
        <w:t> </w:t>
      </w:r>
      <w:r>
        <w:rPr>
          <w:spacing w:val="-2"/>
          <w:w w:val="120"/>
        </w:rPr>
        <w:t>capture</w:t>
      </w:r>
      <w:r>
        <w:rPr>
          <w:spacing w:val="-12"/>
          <w:w w:val="120"/>
        </w:rPr>
        <w:t> </w:t>
      </w:r>
      <w:r>
        <w:rPr>
          <w:spacing w:val="-2"/>
          <w:w w:val="120"/>
        </w:rPr>
        <w:t>the</w:t>
      </w:r>
      <w:r>
        <w:rPr>
          <w:spacing w:val="-11"/>
          <w:w w:val="120"/>
        </w:rPr>
        <w:t> </w:t>
      </w:r>
      <w:r>
        <w:rPr>
          <w:i/>
          <w:spacing w:val="-2"/>
          <w:w w:val="120"/>
        </w:rPr>
        <w:t>exact</w:t>
      </w:r>
      <w:r>
        <w:rPr>
          <w:i/>
          <w:spacing w:val="-12"/>
          <w:w w:val="120"/>
        </w:rPr>
        <w:t> </w:t>
      </w:r>
      <w:r>
        <w:rPr>
          <w:spacing w:val="-2"/>
          <w:w w:val="120"/>
        </w:rPr>
        <w:t>losses </w:t>
      </w:r>
      <w:r>
        <w:rPr>
          <w:w w:val="120"/>
        </w:rPr>
        <w:t>suffered</w:t>
      </w:r>
      <w:r>
        <w:rPr>
          <w:spacing w:val="-14"/>
          <w:w w:val="120"/>
        </w:rPr>
        <w:t> </w:t>
      </w:r>
      <w:r>
        <w:rPr>
          <w:w w:val="120"/>
        </w:rPr>
        <w:t>by</w:t>
      </w:r>
      <w:r>
        <w:rPr>
          <w:spacing w:val="-13"/>
          <w:w w:val="120"/>
        </w:rPr>
        <w:t> </w:t>
      </w:r>
      <w:r>
        <w:rPr>
          <w:w w:val="120"/>
        </w:rPr>
        <w:t>the</w:t>
      </w:r>
      <w:r>
        <w:rPr>
          <w:spacing w:val="-14"/>
          <w:w w:val="120"/>
        </w:rPr>
        <w:t> </w:t>
      </w:r>
      <w:r>
        <w:rPr>
          <w:w w:val="120"/>
        </w:rPr>
        <w:t>moving</w:t>
      </w:r>
      <w:r>
        <w:rPr>
          <w:spacing w:val="-13"/>
          <w:w w:val="120"/>
        </w:rPr>
        <w:t> </w:t>
      </w:r>
      <w:r>
        <w:rPr>
          <w:w w:val="120"/>
        </w:rPr>
        <w:t>party,</w:t>
      </w:r>
      <w:r>
        <w:rPr>
          <w:spacing w:val="-14"/>
          <w:w w:val="120"/>
        </w:rPr>
        <w:t> </w:t>
      </w:r>
      <w:r>
        <w:rPr>
          <w:w w:val="120"/>
        </w:rPr>
        <w:t>which calls for the more detailed scrutiny typical in other civil claims under Indiana law such as foreclosures.</w:t>
      </w:r>
    </w:p>
    <w:p>
      <w:pPr>
        <w:pStyle w:val="BodyText"/>
        <w:spacing w:line="290" w:lineRule="auto"/>
        <w:ind w:left="110" w:right="3"/>
        <w:rPr>
          <w:sz w:val="10"/>
        </w:rPr>
      </w:pPr>
      <w:r>
        <w:rPr>
          <w:w w:val="120"/>
        </w:rPr>
        <w:t>By comparison, current Indiana law allows</w:t>
      </w:r>
      <w:r>
        <w:rPr>
          <w:spacing w:val="-9"/>
          <w:w w:val="120"/>
        </w:rPr>
        <w:t> </w:t>
      </w:r>
      <w:r>
        <w:rPr>
          <w:w w:val="120"/>
        </w:rPr>
        <w:t>landlords</w:t>
      </w:r>
      <w:r>
        <w:rPr>
          <w:spacing w:val="-9"/>
          <w:w w:val="120"/>
        </w:rPr>
        <w:t> </w:t>
      </w:r>
      <w:r>
        <w:rPr>
          <w:w w:val="120"/>
        </w:rPr>
        <w:t>to</w:t>
      </w:r>
      <w:r>
        <w:rPr>
          <w:spacing w:val="-9"/>
          <w:w w:val="120"/>
        </w:rPr>
        <w:t> </w:t>
      </w:r>
      <w:r>
        <w:rPr>
          <w:w w:val="120"/>
        </w:rPr>
        <w:t>seek</w:t>
      </w:r>
      <w:r>
        <w:rPr>
          <w:spacing w:val="-8"/>
          <w:w w:val="120"/>
        </w:rPr>
        <w:t> </w:t>
      </w:r>
      <w:r>
        <w:rPr>
          <w:w w:val="120"/>
        </w:rPr>
        <w:t>court</w:t>
      </w:r>
      <w:r>
        <w:rPr>
          <w:spacing w:val="-8"/>
          <w:w w:val="120"/>
        </w:rPr>
        <w:t> </w:t>
      </w:r>
      <w:r>
        <w:rPr>
          <w:w w:val="120"/>
        </w:rPr>
        <w:t>orders to evict tenants in as few as 10 days after the tenant receives notice, a speed</w:t>
      </w:r>
      <w:r>
        <w:rPr>
          <w:spacing w:val="-9"/>
          <w:w w:val="120"/>
        </w:rPr>
        <w:t> </w:t>
      </w:r>
      <w:r>
        <w:rPr>
          <w:w w:val="120"/>
        </w:rPr>
        <w:t>that</w:t>
      </w:r>
      <w:r>
        <w:rPr>
          <w:spacing w:val="-9"/>
          <w:w w:val="120"/>
        </w:rPr>
        <w:t> </w:t>
      </w:r>
      <w:r>
        <w:rPr>
          <w:w w:val="120"/>
        </w:rPr>
        <w:t>is</w:t>
      </w:r>
      <w:r>
        <w:rPr>
          <w:spacing w:val="-10"/>
          <w:w w:val="120"/>
        </w:rPr>
        <w:t> </w:t>
      </w:r>
      <w:r>
        <w:rPr>
          <w:w w:val="120"/>
        </w:rPr>
        <w:t>virtually</w:t>
      </w:r>
      <w:r>
        <w:rPr>
          <w:spacing w:val="-9"/>
          <w:w w:val="120"/>
        </w:rPr>
        <w:t> </w:t>
      </w:r>
      <w:r>
        <w:rPr>
          <w:w w:val="120"/>
        </w:rPr>
        <w:t>unprecedented for such consequential civil orders.</w:t>
      </w:r>
      <w:r>
        <w:rPr>
          <w:w w:val="120"/>
          <w:position w:val="6"/>
          <w:sz w:val="10"/>
        </w:rPr>
        <w:t>5</w:t>
      </w:r>
    </w:p>
    <w:p>
      <w:pPr>
        <w:pStyle w:val="BodyText"/>
        <w:spacing w:before="3"/>
        <w:rPr>
          <w:sz w:val="21"/>
        </w:rPr>
      </w:pPr>
    </w:p>
    <w:p>
      <w:pPr>
        <w:pStyle w:val="BodyText"/>
        <w:spacing w:line="290" w:lineRule="auto"/>
        <w:ind w:left="110" w:right="293"/>
      </w:pPr>
      <w:r>
        <w:rPr>
          <w:w w:val="120"/>
        </w:rPr>
        <w:t>Indiana law is clear that an ascertainable</w:t>
      </w:r>
      <w:r>
        <w:rPr>
          <w:spacing w:val="-14"/>
          <w:w w:val="120"/>
        </w:rPr>
        <w:t> </w:t>
      </w:r>
      <w:r>
        <w:rPr>
          <w:w w:val="120"/>
        </w:rPr>
        <w:t>economic</w:t>
      </w:r>
      <w:r>
        <w:rPr>
          <w:spacing w:val="-13"/>
          <w:w w:val="120"/>
        </w:rPr>
        <w:t> </w:t>
      </w:r>
      <w:r>
        <w:rPr>
          <w:w w:val="120"/>
        </w:rPr>
        <w:t>loss</w:t>
      </w:r>
      <w:r>
        <w:rPr>
          <w:spacing w:val="-14"/>
          <w:w w:val="120"/>
        </w:rPr>
        <w:t> </w:t>
      </w:r>
      <w:r>
        <w:rPr>
          <w:w w:val="120"/>
        </w:rPr>
        <w:t>in</w:t>
      </w:r>
      <w:r>
        <w:rPr>
          <w:spacing w:val="-13"/>
          <w:w w:val="120"/>
        </w:rPr>
        <w:t> </w:t>
      </w:r>
      <w:r>
        <w:rPr>
          <w:w w:val="120"/>
        </w:rPr>
        <w:t>the</w:t>
      </w:r>
    </w:p>
    <w:p>
      <w:pPr>
        <w:pStyle w:val="BodyText"/>
        <w:spacing w:line="290" w:lineRule="auto" w:before="84"/>
        <w:ind w:left="110"/>
      </w:pPr>
      <w:r>
        <w:rPr/>
        <w:br w:type="column"/>
      </w:r>
      <w:r>
        <w:rPr>
          <w:w w:val="120"/>
        </w:rPr>
        <w:t>form of damages is an adequate remedy</w:t>
      </w:r>
      <w:r>
        <w:rPr>
          <w:spacing w:val="-2"/>
          <w:w w:val="120"/>
        </w:rPr>
        <w:t> </w:t>
      </w:r>
      <w:r>
        <w:rPr>
          <w:w w:val="120"/>
        </w:rPr>
        <w:t>at</w:t>
      </w:r>
      <w:r>
        <w:rPr>
          <w:spacing w:val="-2"/>
          <w:w w:val="120"/>
        </w:rPr>
        <w:t> </w:t>
      </w:r>
      <w:r>
        <w:rPr>
          <w:w w:val="120"/>
        </w:rPr>
        <w:t>law</w:t>
      </w:r>
      <w:r>
        <w:rPr>
          <w:spacing w:val="-2"/>
          <w:w w:val="120"/>
        </w:rPr>
        <w:t> </w:t>
      </w:r>
      <w:r>
        <w:rPr>
          <w:w w:val="120"/>
        </w:rPr>
        <w:t>that</w:t>
      </w:r>
      <w:r>
        <w:rPr>
          <w:spacing w:val="-2"/>
          <w:w w:val="120"/>
        </w:rPr>
        <w:t> </w:t>
      </w:r>
      <w:r>
        <w:rPr>
          <w:w w:val="120"/>
        </w:rPr>
        <w:t>rarely</w:t>
      </w:r>
      <w:r>
        <w:rPr>
          <w:spacing w:val="-2"/>
          <w:w w:val="120"/>
        </w:rPr>
        <w:t> </w:t>
      </w:r>
      <w:r>
        <w:rPr>
          <w:w w:val="120"/>
        </w:rPr>
        <w:t>warrants equitable relief, yet evictions of tenants from their homes for contract breaches are the opposite of rare, being ordered by the thousands each year across the </w:t>
      </w:r>
      <w:r>
        <w:rPr>
          <w:w w:val="115"/>
        </w:rPr>
        <w:t>state.</w:t>
      </w:r>
      <w:r>
        <w:rPr>
          <w:spacing w:val="-2"/>
          <w:w w:val="115"/>
        </w:rPr>
        <w:t> </w:t>
      </w:r>
      <w:r>
        <w:rPr>
          <w:w w:val="115"/>
        </w:rPr>
        <w:t>The</w:t>
      </w:r>
      <w:r>
        <w:rPr>
          <w:spacing w:val="-2"/>
          <w:w w:val="115"/>
        </w:rPr>
        <w:t> </w:t>
      </w:r>
      <w:r>
        <w:rPr>
          <w:w w:val="115"/>
        </w:rPr>
        <w:t>Indiana</w:t>
      </w:r>
      <w:r>
        <w:rPr>
          <w:spacing w:val="-1"/>
          <w:w w:val="115"/>
        </w:rPr>
        <w:t> </w:t>
      </w:r>
      <w:r>
        <w:rPr>
          <w:w w:val="115"/>
        </w:rPr>
        <w:t>Court</w:t>
      </w:r>
      <w:r>
        <w:rPr>
          <w:spacing w:val="-1"/>
          <w:w w:val="115"/>
        </w:rPr>
        <w:t> </w:t>
      </w:r>
      <w:r>
        <w:rPr>
          <w:w w:val="115"/>
        </w:rPr>
        <w:t>of</w:t>
      </w:r>
      <w:r>
        <w:rPr>
          <w:spacing w:val="-2"/>
          <w:w w:val="115"/>
        </w:rPr>
        <w:t> </w:t>
      </w:r>
      <w:r>
        <w:rPr>
          <w:w w:val="115"/>
        </w:rPr>
        <w:t>Appeals </w:t>
      </w:r>
      <w:r>
        <w:rPr>
          <w:w w:val="120"/>
        </w:rPr>
        <w:t>has consistently recognized that</w:t>
      </w:r>
    </w:p>
    <w:p>
      <w:pPr>
        <w:pStyle w:val="BodyText"/>
        <w:spacing w:line="290" w:lineRule="auto" w:before="84"/>
        <w:ind w:left="110" w:right="361"/>
        <w:rPr>
          <w:sz w:val="10"/>
        </w:rPr>
      </w:pPr>
      <w:r>
        <w:rPr/>
        <w:br w:type="column"/>
      </w:r>
      <w:r>
        <w:rPr>
          <w:w w:val="120"/>
        </w:rPr>
        <w:t>“[a] party suffering mere economic injury is not entitled to injunctive relief</w:t>
      </w:r>
      <w:r>
        <w:rPr>
          <w:spacing w:val="-14"/>
          <w:w w:val="120"/>
        </w:rPr>
        <w:t> </w:t>
      </w:r>
      <w:r>
        <w:rPr>
          <w:w w:val="120"/>
        </w:rPr>
        <w:t>because</w:t>
      </w:r>
      <w:r>
        <w:rPr>
          <w:spacing w:val="-13"/>
          <w:w w:val="120"/>
        </w:rPr>
        <w:t> </w:t>
      </w:r>
      <w:r>
        <w:rPr>
          <w:w w:val="120"/>
        </w:rPr>
        <w:t>damages</w:t>
      </w:r>
      <w:r>
        <w:rPr>
          <w:spacing w:val="-14"/>
          <w:w w:val="120"/>
        </w:rPr>
        <w:t> </w:t>
      </w:r>
      <w:r>
        <w:rPr>
          <w:w w:val="120"/>
        </w:rPr>
        <w:t>are</w:t>
      </w:r>
      <w:r>
        <w:rPr>
          <w:spacing w:val="-13"/>
          <w:w w:val="120"/>
        </w:rPr>
        <w:t> </w:t>
      </w:r>
      <w:r>
        <w:rPr>
          <w:w w:val="120"/>
        </w:rPr>
        <w:t>sufficient to make the party whole.”</w:t>
      </w:r>
      <w:r>
        <w:rPr>
          <w:w w:val="120"/>
          <w:position w:val="6"/>
          <w:sz w:val="10"/>
        </w:rPr>
        <w:t>6</w:t>
      </w:r>
    </w:p>
    <w:p>
      <w:pPr>
        <w:pStyle w:val="BodyText"/>
        <w:spacing w:line="290" w:lineRule="auto"/>
        <w:ind w:left="110" w:right="679"/>
      </w:pPr>
      <w:r>
        <w:rPr>
          <w:w w:val="120"/>
        </w:rPr>
        <w:t>Evictions mitigate economic loss by</w:t>
      </w:r>
      <w:r>
        <w:rPr>
          <w:spacing w:val="-14"/>
          <w:w w:val="120"/>
        </w:rPr>
        <w:t> </w:t>
      </w:r>
      <w:r>
        <w:rPr>
          <w:w w:val="120"/>
        </w:rPr>
        <w:t>making</w:t>
      </w:r>
      <w:r>
        <w:rPr>
          <w:spacing w:val="-13"/>
          <w:w w:val="120"/>
        </w:rPr>
        <w:t> </w:t>
      </w:r>
      <w:r>
        <w:rPr>
          <w:w w:val="120"/>
        </w:rPr>
        <w:t>units</w:t>
      </w:r>
      <w:r>
        <w:rPr>
          <w:spacing w:val="-14"/>
          <w:w w:val="120"/>
        </w:rPr>
        <w:t> </w:t>
      </w:r>
      <w:r>
        <w:rPr>
          <w:w w:val="120"/>
        </w:rPr>
        <w:t>available</w:t>
      </w:r>
      <w:r>
        <w:rPr>
          <w:spacing w:val="-13"/>
          <w:w w:val="120"/>
        </w:rPr>
        <w:t> </w:t>
      </w:r>
      <w:r>
        <w:rPr>
          <w:w w:val="120"/>
        </w:rPr>
        <w:t>for</w:t>
      </w:r>
      <w:r>
        <w:rPr>
          <w:spacing w:val="-14"/>
          <w:w w:val="120"/>
        </w:rPr>
        <w:t> </w:t>
      </w:r>
      <w:r>
        <w:rPr>
          <w:w w:val="120"/>
        </w:rPr>
        <w:t>rent, but economic damages produce </w:t>
      </w:r>
      <w:r>
        <w:rPr>
          <w:spacing w:val="-2"/>
          <w:w w:val="120"/>
        </w:rPr>
        <w:t>the</w:t>
      </w:r>
      <w:r>
        <w:rPr>
          <w:spacing w:val="-12"/>
          <w:w w:val="120"/>
        </w:rPr>
        <w:t> </w:t>
      </w:r>
      <w:r>
        <w:rPr>
          <w:spacing w:val="-2"/>
          <w:w w:val="120"/>
        </w:rPr>
        <w:t>same</w:t>
      </w:r>
      <w:r>
        <w:rPr>
          <w:spacing w:val="-11"/>
          <w:w w:val="120"/>
        </w:rPr>
        <w:t> </w:t>
      </w:r>
      <w:r>
        <w:rPr>
          <w:spacing w:val="-2"/>
          <w:w w:val="120"/>
        </w:rPr>
        <w:t>result—money—without</w:t>
      </w:r>
    </w:p>
    <w:p>
      <w:pPr>
        <w:pStyle w:val="BodyText"/>
        <w:spacing w:line="205" w:lineRule="exact"/>
        <w:ind w:left="110"/>
      </w:pPr>
      <w:r>
        <w:rPr>
          <w:w w:val="120"/>
        </w:rPr>
        <w:t>sustaining</w:t>
      </w:r>
      <w:r>
        <w:rPr>
          <w:spacing w:val="-5"/>
          <w:w w:val="120"/>
        </w:rPr>
        <w:t> </w:t>
      </w:r>
      <w:r>
        <w:rPr>
          <w:w w:val="120"/>
        </w:rPr>
        <w:t>the</w:t>
      </w:r>
      <w:r>
        <w:rPr>
          <w:spacing w:val="-4"/>
          <w:w w:val="120"/>
        </w:rPr>
        <w:t> </w:t>
      </w:r>
      <w:r>
        <w:rPr>
          <w:w w:val="120"/>
        </w:rPr>
        <w:t>enduring</w:t>
      </w:r>
      <w:r>
        <w:rPr>
          <w:spacing w:val="-4"/>
          <w:w w:val="120"/>
        </w:rPr>
        <w:t> </w:t>
      </w:r>
      <w:r>
        <w:rPr>
          <w:spacing w:val="-2"/>
          <w:w w:val="120"/>
        </w:rPr>
        <w:t>irreparable</w:t>
      </w:r>
    </w:p>
    <w:p>
      <w:pPr>
        <w:spacing w:after="0" w:line="205" w:lineRule="exact"/>
        <w:sectPr>
          <w:pgSz w:w="12060" w:h="15660"/>
          <w:pgMar w:header="0" w:footer="972" w:top="1020" w:bottom="1160" w:left="740" w:right="660"/>
          <w:cols w:num="3" w:equalWidth="0">
            <w:col w:w="3320" w:space="133"/>
            <w:col w:w="3139" w:space="312"/>
            <w:col w:w="3756"/>
          </w:cols>
        </w:sectPr>
      </w:pPr>
    </w:p>
    <w:p>
      <w:pPr>
        <w:pStyle w:val="BodyText"/>
        <w:spacing w:line="290" w:lineRule="auto" w:before="84"/>
        <w:ind w:left="393"/>
      </w:pPr>
      <w:r>
        <w:rPr>
          <w:w w:val="120"/>
        </w:rPr>
        <w:t>harm caused by removing mothers, pregnant</w:t>
      </w:r>
      <w:r>
        <w:rPr>
          <w:spacing w:val="-9"/>
          <w:w w:val="120"/>
        </w:rPr>
        <w:t> </w:t>
      </w:r>
      <w:r>
        <w:rPr>
          <w:w w:val="120"/>
        </w:rPr>
        <w:t>women,</w:t>
      </w:r>
      <w:r>
        <w:rPr>
          <w:spacing w:val="-9"/>
          <w:w w:val="120"/>
        </w:rPr>
        <w:t> </w:t>
      </w:r>
      <w:r>
        <w:rPr>
          <w:w w:val="120"/>
        </w:rPr>
        <w:t>and</w:t>
      </w:r>
      <w:r>
        <w:rPr>
          <w:spacing w:val="-9"/>
          <w:w w:val="120"/>
        </w:rPr>
        <w:t> </w:t>
      </w:r>
      <w:r>
        <w:rPr>
          <w:w w:val="120"/>
        </w:rPr>
        <w:t>children</w:t>
      </w:r>
      <w:r>
        <w:rPr>
          <w:spacing w:val="-9"/>
          <w:w w:val="120"/>
        </w:rPr>
        <w:t> </w:t>
      </w:r>
      <w:r>
        <w:rPr>
          <w:w w:val="120"/>
        </w:rPr>
        <w:t>from their</w:t>
      </w:r>
      <w:r>
        <w:rPr>
          <w:spacing w:val="-7"/>
          <w:w w:val="120"/>
        </w:rPr>
        <w:t> </w:t>
      </w:r>
      <w:r>
        <w:rPr>
          <w:w w:val="120"/>
        </w:rPr>
        <w:t>homes.</w:t>
      </w:r>
    </w:p>
    <w:p>
      <w:pPr>
        <w:pStyle w:val="BodyText"/>
        <w:spacing w:before="6"/>
        <w:rPr>
          <w:sz w:val="21"/>
        </w:rPr>
      </w:pPr>
    </w:p>
    <w:p>
      <w:pPr>
        <w:pStyle w:val="Heading2"/>
        <w:spacing w:line="290" w:lineRule="auto"/>
        <w:ind w:left="394"/>
      </w:pPr>
      <w:r>
        <w:rPr>
          <w:color w:val="3B9DD7"/>
          <w:w w:val="105"/>
        </w:rPr>
        <w:t>IRREPARABLE HARM: THE PARTICULAR TRAUMA TO </w:t>
      </w:r>
      <w:r>
        <w:rPr>
          <w:color w:val="3B9DD7"/>
          <w:spacing w:val="-2"/>
          <w:w w:val="105"/>
        </w:rPr>
        <w:t>PREGNANT</w:t>
      </w:r>
      <w:r>
        <w:rPr>
          <w:color w:val="3B9DD7"/>
          <w:spacing w:val="-13"/>
          <w:w w:val="105"/>
        </w:rPr>
        <w:t> </w:t>
      </w:r>
      <w:r>
        <w:rPr>
          <w:color w:val="3B9DD7"/>
          <w:spacing w:val="-2"/>
          <w:w w:val="105"/>
        </w:rPr>
        <w:t>MOMS</w:t>
      </w:r>
      <w:r>
        <w:rPr>
          <w:color w:val="3B9DD7"/>
          <w:spacing w:val="-13"/>
          <w:w w:val="105"/>
        </w:rPr>
        <w:t> </w:t>
      </w:r>
      <w:r>
        <w:rPr>
          <w:color w:val="3B9DD7"/>
          <w:spacing w:val="-2"/>
          <w:w w:val="105"/>
        </w:rPr>
        <w:t>AND</w:t>
      </w:r>
      <w:r>
        <w:rPr>
          <w:color w:val="3B9DD7"/>
          <w:spacing w:val="-13"/>
          <w:w w:val="105"/>
        </w:rPr>
        <w:t> </w:t>
      </w:r>
      <w:r>
        <w:rPr>
          <w:color w:val="3B9DD7"/>
          <w:spacing w:val="-2"/>
          <w:w w:val="105"/>
        </w:rPr>
        <w:t>BABIES</w:t>
      </w:r>
    </w:p>
    <w:p>
      <w:pPr>
        <w:pStyle w:val="BodyText"/>
        <w:spacing w:before="8"/>
        <w:rPr>
          <w:rFonts w:ascii="Arial"/>
          <w:b/>
          <w:sz w:val="21"/>
        </w:rPr>
      </w:pPr>
    </w:p>
    <w:p>
      <w:pPr>
        <w:pStyle w:val="BodyText"/>
        <w:spacing w:line="290" w:lineRule="auto"/>
        <w:ind w:left="393" w:right="35"/>
      </w:pPr>
      <w:r>
        <w:rPr>
          <w:w w:val="120"/>
        </w:rPr>
        <w:t>Evicting</w:t>
      </w:r>
      <w:r>
        <w:rPr>
          <w:spacing w:val="-14"/>
          <w:w w:val="120"/>
        </w:rPr>
        <w:t> </w:t>
      </w:r>
      <w:r>
        <w:rPr>
          <w:w w:val="120"/>
        </w:rPr>
        <w:t>mothers,</w:t>
      </w:r>
      <w:r>
        <w:rPr>
          <w:spacing w:val="-13"/>
          <w:w w:val="120"/>
        </w:rPr>
        <w:t> </w:t>
      </w:r>
      <w:r>
        <w:rPr>
          <w:w w:val="120"/>
        </w:rPr>
        <w:t>pregnant</w:t>
      </w:r>
      <w:r>
        <w:rPr>
          <w:spacing w:val="-14"/>
          <w:w w:val="120"/>
        </w:rPr>
        <w:t> </w:t>
      </w:r>
      <w:r>
        <w:rPr>
          <w:w w:val="120"/>
        </w:rPr>
        <w:t>women, and young children is an extreme remedy that creates an irreparable harm to families and their </w:t>
      </w:r>
      <w:r>
        <w:rPr>
          <w:spacing w:val="-2"/>
          <w:w w:val="120"/>
        </w:rPr>
        <w:t>communities.</w:t>
      </w:r>
      <w:r>
        <w:rPr>
          <w:spacing w:val="-12"/>
          <w:w w:val="120"/>
        </w:rPr>
        <w:t> </w:t>
      </w:r>
      <w:r>
        <w:rPr>
          <w:spacing w:val="-2"/>
          <w:w w:val="120"/>
        </w:rPr>
        <w:t>Removing</w:t>
      </w:r>
      <w:r>
        <w:rPr>
          <w:spacing w:val="-11"/>
          <w:w w:val="120"/>
        </w:rPr>
        <w:t> </w:t>
      </w:r>
      <w:r>
        <w:rPr>
          <w:spacing w:val="-2"/>
          <w:w w:val="120"/>
        </w:rPr>
        <w:t>individuals </w:t>
      </w:r>
      <w:r>
        <w:rPr>
          <w:w w:val="120"/>
        </w:rPr>
        <w:t>from their homes while pregnant significantly increases the risk of low</w:t>
      </w:r>
      <w:r>
        <w:rPr>
          <w:spacing w:val="-3"/>
          <w:w w:val="120"/>
        </w:rPr>
        <w:t> </w:t>
      </w:r>
      <w:r>
        <w:rPr>
          <w:w w:val="120"/>
        </w:rPr>
        <w:t>birth</w:t>
      </w:r>
      <w:r>
        <w:rPr>
          <w:spacing w:val="-3"/>
          <w:w w:val="120"/>
        </w:rPr>
        <w:t> </w:t>
      </w:r>
      <w:r>
        <w:rPr>
          <w:w w:val="120"/>
        </w:rPr>
        <w:t>weight</w:t>
      </w:r>
      <w:r>
        <w:rPr>
          <w:spacing w:val="-3"/>
          <w:w w:val="120"/>
        </w:rPr>
        <w:t> </w:t>
      </w:r>
      <w:r>
        <w:rPr>
          <w:w w:val="120"/>
        </w:rPr>
        <w:t>and</w:t>
      </w:r>
      <w:r>
        <w:rPr>
          <w:spacing w:val="-3"/>
          <w:w w:val="120"/>
        </w:rPr>
        <w:t> </w:t>
      </w:r>
      <w:r>
        <w:rPr>
          <w:w w:val="120"/>
        </w:rPr>
        <w:t>the</w:t>
      </w:r>
      <w:r>
        <w:rPr>
          <w:spacing w:val="-4"/>
          <w:w w:val="120"/>
        </w:rPr>
        <w:t> </w:t>
      </w:r>
      <w:r>
        <w:rPr>
          <w:w w:val="120"/>
        </w:rPr>
        <w:t>likelihood of the baby being admitted to the NICU for an extended period.</w:t>
      </w:r>
      <w:r>
        <w:rPr>
          <w:w w:val="120"/>
          <w:position w:val="6"/>
          <w:sz w:val="10"/>
        </w:rPr>
        <w:t>7</w:t>
      </w:r>
      <w:r>
        <w:rPr>
          <w:spacing w:val="80"/>
          <w:w w:val="120"/>
          <w:position w:val="6"/>
          <w:sz w:val="10"/>
        </w:rPr>
        <w:t> </w:t>
      </w:r>
      <w:r>
        <w:rPr>
          <w:w w:val="120"/>
        </w:rPr>
        <w:t>On average, pregnant individuals experiencing homelessness stay in </w:t>
      </w:r>
      <w:r>
        <w:rPr>
          <w:w w:val="115"/>
        </w:rPr>
        <w:t>the</w:t>
      </w:r>
      <w:r>
        <w:rPr>
          <w:spacing w:val="-9"/>
          <w:w w:val="115"/>
        </w:rPr>
        <w:t> </w:t>
      </w:r>
      <w:r>
        <w:rPr>
          <w:w w:val="115"/>
        </w:rPr>
        <w:t>NICU</w:t>
      </w:r>
      <w:r>
        <w:rPr>
          <w:spacing w:val="-8"/>
          <w:w w:val="115"/>
        </w:rPr>
        <w:t> </w:t>
      </w:r>
      <w:r>
        <w:rPr>
          <w:w w:val="115"/>
        </w:rPr>
        <w:t>for</w:t>
      </w:r>
      <w:r>
        <w:rPr>
          <w:spacing w:val="-9"/>
          <w:w w:val="115"/>
        </w:rPr>
        <w:t> </w:t>
      </w:r>
      <w:r>
        <w:rPr>
          <w:w w:val="115"/>
        </w:rPr>
        <w:t>an</w:t>
      </w:r>
      <w:r>
        <w:rPr>
          <w:spacing w:val="-8"/>
          <w:w w:val="115"/>
        </w:rPr>
        <w:t> </w:t>
      </w:r>
      <w:r>
        <w:rPr>
          <w:w w:val="115"/>
        </w:rPr>
        <w:t>additional</w:t>
      </w:r>
      <w:r>
        <w:rPr>
          <w:spacing w:val="-9"/>
          <w:w w:val="115"/>
        </w:rPr>
        <w:t> </w:t>
      </w:r>
      <w:r>
        <w:rPr>
          <w:w w:val="115"/>
        </w:rPr>
        <w:t>17.6</w:t>
      </w:r>
      <w:r>
        <w:rPr>
          <w:spacing w:val="-9"/>
          <w:w w:val="115"/>
        </w:rPr>
        <w:t> </w:t>
      </w:r>
      <w:r>
        <w:rPr>
          <w:w w:val="115"/>
        </w:rPr>
        <w:t>days </w:t>
      </w:r>
      <w:r>
        <w:rPr>
          <w:w w:val="120"/>
        </w:rPr>
        <w:t>increasing healthcare costs by up</w:t>
      </w:r>
    </w:p>
    <w:p>
      <w:pPr>
        <w:pStyle w:val="BodyText"/>
        <w:spacing w:line="290" w:lineRule="auto" w:before="84"/>
        <w:ind w:left="306"/>
        <w:rPr>
          <w:sz w:val="10"/>
        </w:rPr>
      </w:pPr>
      <w:r>
        <w:rPr/>
        <w:br w:type="column"/>
      </w:r>
      <w:r>
        <w:rPr>
          <w:w w:val="115"/>
        </w:rPr>
        <w:t>to</w:t>
      </w:r>
      <w:r>
        <w:rPr>
          <w:spacing w:val="-6"/>
          <w:w w:val="115"/>
        </w:rPr>
        <w:t> </w:t>
      </w:r>
      <w:r>
        <w:rPr>
          <w:w w:val="115"/>
        </w:rPr>
        <w:t>$42,000.</w:t>
      </w:r>
      <w:r>
        <w:rPr>
          <w:spacing w:val="-6"/>
          <w:w w:val="115"/>
        </w:rPr>
        <w:t> </w:t>
      </w:r>
      <w:r>
        <w:rPr>
          <w:w w:val="115"/>
        </w:rPr>
        <w:t>Housing</w:t>
      </w:r>
      <w:r>
        <w:rPr>
          <w:spacing w:val="-6"/>
          <w:w w:val="115"/>
        </w:rPr>
        <w:t> </w:t>
      </w:r>
      <w:r>
        <w:rPr>
          <w:w w:val="115"/>
        </w:rPr>
        <w:t>insecurity</w:t>
      </w:r>
      <w:r>
        <w:rPr>
          <w:spacing w:val="-5"/>
          <w:w w:val="115"/>
        </w:rPr>
        <w:t> </w:t>
      </w:r>
      <w:r>
        <w:rPr>
          <w:w w:val="115"/>
        </w:rPr>
        <w:t>and </w:t>
      </w:r>
      <w:r>
        <w:rPr>
          <w:w w:val="120"/>
        </w:rPr>
        <w:t>evictions produce outsized harm on pregnant women and infants, but those injuries have a ripple effect</w:t>
      </w:r>
      <w:r>
        <w:rPr>
          <w:spacing w:val="-7"/>
          <w:w w:val="120"/>
        </w:rPr>
        <w:t> </w:t>
      </w:r>
      <w:r>
        <w:rPr>
          <w:w w:val="120"/>
        </w:rPr>
        <w:t>on</w:t>
      </w:r>
      <w:r>
        <w:rPr>
          <w:spacing w:val="-7"/>
          <w:w w:val="120"/>
        </w:rPr>
        <w:t> </w:t>
      </w:r>
      <w:r>
        <w:rPr>
          <w:w w:val="120"/>
        </w:rPr>
        <w:t>children</w:t>
      </w:r>
      <w:r>
        <w:rPr>
          <w:spacing w:val="-7"/>
          <w:w w:val="120"/>
        </w:rPr>
        <w:t> </w:t>
      </w:r>
      <w:r>
        <w:rPr>
          <w:w w:val="120"/>
        </w:rPr>
        <w:t>and</w:t>
      </w:r>
      <w:r>
        <w:rPr>
          <w:spacing w:val="-7"/>
          <w:w w:val="120"/>
        </w:rPr>
        <w:t> </w:t>
      </w:r>
      <w:r>
        <w:rPr>
          <w:w w:val="120"/>
        </w:rPr>
        <w:t>the</w:t>
      </w:r>
      <w:r>
        <w:rPr>
          <w:spacing w:val="-8"/>
          <w:w w:val="120"/>
        </w:rPr>
        <w:t> </w:t>
      </w:r>
      <w:r>
        <w:rPr>
          <w:w w:val="120"/>
        </w:rPr>
        <w:t>broader </w:t>
      </w:r>
      <w:r>
        <w:rPr>
          <w:spacing w:val="-2"/>
          <w:w w:val="120"/>
        </w:rPr>
        <w:t>community.</w:t>
      </w:r>
      <w:r>
        <w:rPr>
          <w:spacing w:val="-2"/>
          <w:w w:val="120"/>
          <w:position w:val="6"/>
          <w:sz w:val="10"/>
        </w:rPr>
        <w:t>8</w:t>
      </w:r>
    </w:p>
    <w:p>
      <w:pPr>
        <w:pStyle w:val="BodyText"/>
        <w:rPr>
          <w:sz w:val="20"/>
        </w:rPr>
      </w:pPr>
    </w:p>
    <w:p>
      <w:pPr>
        <w:pStyle w:val="BodyText"/>
        <w:rPr>
          <w:sz w:val="20"/>
        </w:rPr>
      </w:pPr>
    </w:p>
    <w:p>
      <w:pPr>
        <w:pStyle w:val="BodyText"/>
        <w:rPr>
          <w:sz w:val="20"/>
        </w:rPr>
      </w:pPr>
    </w:p>
    <w:p>
      <w:pPr>
        <w:pStyle w:val="BodyText"/>
        <w:spacing w:before="4"/>
        <w:rPr>
          <w:sz w:val="29"/>
        </w:rPr>
      </w:pPr>
    </w:p>
    <w:p>
      <w:pPr>
        <w:pStyle w:val="Heading1"/>
        <w:spacing w:line="340" w:lineRule="auto"/>
      </w:pPr>
      <w:r>
        <w:rPr/>
        <mc:AlternateContent>
          <mc:Choice Requires="wps">
            <w:drawing>
              <wp:anchor distT="0" distB="0" distL="0" distR="0" allowOverlap="1" layoutInCell="1" locked="0" behindDoc="0" simplePos="0" relativeHeight="15731200">
                <wp:simplePos x="0" y="0"/>
                <wp:positionH relativeFrom="page">
                  <wp:posOffset>2944434</wp:posOffset>
                </wp:positionH>
                <wp:positionV relativeFrom="paragraph">
                  <wp:posOffset>-364983</wp:posOffset>
                </wp:positionV>
                <wp:extent cx="1270" cy="222885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1270" cy="2228850"/>
                        </a:xfrm>
                        <a:custGeom>
                          <a:avLst/>
                          <a:gdLst/>
                          <a:ahLst/>
                          <a:cxnLst/>
                          <a:rect l="l" t="t" r="r" b="b"/>
                          <a:pathLst>
                            <a:path w="0" h="2228850">
                              <a:moveTo>
                                <a:pt x="0" y="2228405"/>
                              </a:moveTo>
                              <a:lnTo>
                                <a:pt x="0" y="0"/>
                              </a:lnTo>
                            </a:path>
                          </a:pathLst>
                        </a:custGeom>
                        <a:ln w="63500">
                          <a:solidFill>
                            <a:srgbClr val="3B9DD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200" from="231.8452pt,146.726158pt" to="231.8452pt,-28.738842pt" stroked="true" strokeweight="5pt" strokecolor="#3b9dd7">
                <v:stroke dashstyle="solid"/>
                <w10:wrap type="none"/>
              </v:line>
            </w:pict>
          </mc:Fallback>
        </mc:AlternateContent>
      </w:r>
      <w:r>
        <w:rPr>
          <w:spacing w:val="-2"/>
          <w:w w:val="110"/>
        </w:rPr>
        <w:t>"Whether</w:t>
      </w:r>
      <w:r>
        <w:rPr>
          <w:spacing w:val="-16"/>
          <w:w w:val="110"/>
        </w:rPr>
        <w:t> </w:t>
      </w:r>
      <w:r>
        <w:rPr>
          <w:spacing w:val="-2"/>
          <w:w w:val="110"/>
        </w:rPr>
        <w:t>you</w:t>
      </w:r>
      <w:r>
        <w:rPr>
          <w:spacing w:val="-16"/>
          <w:w w:val="110"/>
        </w:rPr>
        <w:t> </w:t>
      </w:r>
      <w:r>
        <w:rPr>
          <w:spacing w:val="-2"/>
          <w:w w:val="110"/>
        </w:rPr>
        <w:t>reframe </w:t>
      </w:r>
      <w:r>
        <w:rPr>
          <w:w w:val="110"/>
        </w:rPr>
        <w:t>evictions as a form</w:t>
      </w:r>
    </w:p>
    <w:p>
      <w:pPr>
        <w:spacing w:line="340" w:lineRule="auto" w:before="2"/>
        <w:ind w:left="708" w:right="44" w:firstLine="0"/>
        <w:jc w:val="center"/>
        <w:rPr>
          <w:rFonts w:ascii="Arial"/>
          <w:b/>
          <w:sz w:val="22"/>
        </w:rPr>
      </w:pPr>
      <w:r>
        <w:rPr>
          <w:rFonts w:ascii="Arial"/>
          <w:b/>
          <w:w w:val="110"/>
          <w:sz w:val="22"/>
        </w:rPr>
        <w:t>of injunctive relief or specific</w:t>
      </w:r>
      <w:r>
        <w:rPr>
          <w:rFonts w:ascii="Arial"/>
          <w:b/>
          <w:spacing w:val="-17"/>
          <w:w w:val="110"/>
          <w:sz w:val="22"/>
        </w:rPr>
        <w:t> </w:t>
      </w:r>
      <w:r>
        <w:rPr>
          <w:rFonts w:ascii="Arial"/>
          <w:b/>
          <w:w w:val="110"/>
          <w:sz w:val="22"/>
        </w:rPr>
        <w:t>performance, </w:t>
      </w:r>
      <w:r>
        <w:rPr>
          <w:rFonts w:ascii="Arial"/>
          <w:b/>
          <w:spacing w:val="-4"/>
          <w:w w:val="110"/>
          <w:sz w:val="22"/>
        </w:rPr>
        <w:t>the</w:t>
      </w:r>
      <w:r>
        <w:rPr>
          <w:rFonts w:ascii="Arial"/>
          <w:b/>
          <w:spacing w:val="-17"/>
          <w:w w:val="110"/>
          <w:sz w:val="22"/>
        </w:rPr>
        <w:t> </w:t>
      </w:r>
      <w:r>
        <w:rPr>
          <w:rFonts w:ascii="Arial"/>
          <w:b/>
          <w:spacing w:val="-4"/>
          <w:w w:val="110"/>
          <w:sz w:val="22"/>
        </w:rPr>
        <w:t>bar,</w:t>
      </w:r>
      <w:r>
        <w:rPr>
          <w:rFonts w:ascii="Arial"/>
          <w:b/>
          <w:spacing w:val="-16"/>
          <w:w w:val="110"/>
          <w:sz w:val="22"/>
        </w:rPr>
        <w:t> </w:t>
      </w:r>
      <w:r>
        <w:rPr>
          <w:rFonts w:ascii="Arial"/>
          <w:b/>
          <w:spacing w:val="-4"/>
          <w:w w:val="110"/>
          <w:sz w:val="22"/>
        </w:rPr>
        <w:t>unlike</w:t>
      </w:r>
      <w:r>
        <w:rPr>
          <w:rFonts w:ascii="Arial"/>
          <w:b/>
          <w:spacing w:val="-16"/>
          <w:w w:val="110"/>
          <w:sz w:val="22"/>
        </w:rPr>
        <w:t> </w:t>
      </w:r>
      <w:r>
        <w:rPr>
          <w:rFonts w:ascii="Arial"/>
          <w:b/>
          <w:spacing w:val="-4"/>
          <w:w w:val="110"/>
          <w:sz w:val="22"/>
        </w:rPr>
        <w:t>eviction </w:t>
      </w:r>
      <w:r>
        <w:rPr>
          <w:rFonts w:ascii="Arial"/>
          <w:b/>
          <w:w w:val="110"/>
          <w:sz w:val="22"/>
        </w:rPr>
        <w:t>proceedings,</w:t>
      </w:r>
      <w:r>
        <w:rPr>
          <w:rFonts w:ascii="Arial"/>
          <w:b/>
          <w:spacing w:val="-17"/>
          <w:w w:val="110"/>
          <w:sz w:val="22"/>
        </w:rPr>
        <w:t> </w:t>
      </w:r>
      <w:r>
        <w:rPr>
          <w:rFonts w:ascii="Arial"/>
          <w:b/>
          <w:w w:val="110"/>
          <w:sz w:val="22"/>
        </w:rPr>
        <w:t>is</w:t>
      </w:r>
      <w:r>
        <w:rPr>
          <w:rFonts w:ascii="Arial"/>
          <w:b/>
          <w:spacing w:val="-17"/>
          <w:w w:val="110"/>
          <w:sz w:val="22"/>
        </w:rPr>
        <w:t> </w:t>
      </w:r>
      <w:r>
        <w:rPr>
          <w:rFonts w:ascii="Arial"/>
          <w:b/>
          <w:w w:val="110"/>
          <w:sz w:val="22"/>
        </w:rPr>
        <w:t>a</w:t>
      </w:r>
      <w:r>
        <w:rPr>
          <w:rFonts w:ascii="Arial"/>
          <w:b/>
          <w:spacing w:val="-17"/>
          <w:w w:val="110"/>
          <w:sz w:val="22"/>
        </w:rPr>
        <w:t> </w:t>
      </w:r>
      <w:r>
        <w:rPr>
          <w:rFonts w:ascii="Arial"/>
          <w:b/>
          <w:w w:val="110"/>
          <w:sz w:val="22"/>
        </w:rPr>
        <w:t>high one to meet."</w:t>
      </w:r>
    </w:p>
    <w:p>
      <w:pPr>
        <w:pStyle w:val="BodyText"/>
        <w:spacing w:line="290" w:lineRule="auto" w:before="73"/>
        <w:ind w:left="393" w:right="264"/>
      </w:pPr>
      <w:r>
        <w:rPr/>
        <w:br w:type="column"/>
      </w:r>
      <w:r>
        <w:rPr>
          <w:w w:val="120"/>
        </w:rPr>
        <w:t>Even as children suffer negative health outcomes from evictions, researchers</w:t>
      </w:r>
      <w:r>
        <w:rPr>
          <w:spacing w:val="-14"/>
          <w:w w:val="120"/>
        </w:rPr>
        <w:t> </w:t>
      </w:r>
      <w:r>
        <w:rPr>
          <w:w w:val="120"/>
        </w:rPr>
        <w:t>like</w:t>
      </w:r>
      <w:r>
        <w:rPr>
          <w:spacing w:val="-13"/>
          <w:w w:val="120"/>
        </w:rPr>
        <w:t> </w:t>
      </w:r>
      <w:r>
        <w:rPr>
          <w:w w:val="120"/>
        </w:rPr>
        <w:t>Matthew</w:t>
      </w:r>
      <w:r>
        <w:rPr>
          <w:spacing w:val="-14"/>
          <w:w w:val="120"/>
        </w:rPr>
        <w:t> </w:t>
      </w:r>
      <w:r>
        <w:rPr>
          <w:w w:val="120"/>
        </w:rPr>
        <w:t>Desmond, sociologist and author of the </w:t>
      </w:r>
      <w:r>
        <w:rPr>
          <w:w w:val="115"/>
        </w:rPr>
        <w:t>Pulitzer</w:t>
      </w:r>
      <w:r>
        <w:rPr>
          <w:spacing w:val="-7"/>
          <w:w w:val="115"/>
        </w:rPr>
        <w:t> </w:t>
      </w:r>
      <w:r>
        <w:rPr>
          <w:w w:val="115"/>
        </w:rPr>
        <w:t>Prize-winning</w:t>
      </w:r>
      <w:r>
        <w:rPr>
          <w:spacing w:val="-7"/>
          <w:w w:val="115"/>
        </w:rPr>
        <w:t> </w:t>
      </w:r>
      <w:r>
        <w:rPr>
          <w:w w:val="115"/>
        </w:rPr>
        <w:t>book</w:t>
      </w:r>
      <w:r>
        <w:rPr>
          <w:spacing w:val="-6"/>
          <w:w w:val="115"/>
        </w:rPr>
        <w:t> </w:t>
      </w:r>
      <w:r>
        <w:rPr>
          <w:i/>
          <w:w w:val="115"/>
        </w:rPr>
        <w:t>Evicted: </w:t>
      </w:r>
      <w:r>
        <w:rPr>
          <w:i/>
          <w:w w:val="120"/>
        </w:rPr>
        <w:t>Poverty</w:t>
      </w:r>
      <w:r>
        <w:rPr>
          <w:i/>
          <w:spacing w:val="-1"/>
          <w:w w:val="120"/>
        </w:rPr>
        <w:t> </w:t>
      </w:r>
      <w:r>
        <w:rPr>
          <w:i/>
          <w:w w:val="120"/>
        </w:rPr>
        <w:t>and</w:t>
      </w:r>
      <w:r>
        <w:rPr>
          <w:i/>
          <w:spacing w:val="-2"/>
          <w:w w:val="120"/>
        </w:rPr>
        <w:t> </w:t>
      </w:r>
      <w:r>
        <w:rPr>
          <w:i/>
          <w:w w:val="120"/>
        </w:rPr>
        <w:t>Profit</w:t>
      </w:r>
      <w:r>
        <w:rPr>
          <w:i/>
          <w:spacing w:val="-2"/>
          <w:w w:val="120"/>
        </w:rPr>
        <w:t> </w:t>
      </w:r>
      <w:r>
        <w:rPr>
          <w:i/>
          <w:w w:val="120"/>
        </w:rPr>
        <w:t>in</w:t>
      </w:r>
      <w:r>
        <w:rPr>
          <w:i/>
          <w:spacing w:val="-2"/>
          <w:w w:val="120"/>
        </w:rPr>
        <w:t> </w:t>
      </w:r>
      <w:r>
        <w:rPr>
          <w:i/>
          <w:w w:val="120"/>
        </w:rPr>
        <w:t>the</w:t>
      </w:r>
      <w:r>
        <w:rPr>
          <w:i/>
          <w:spacing w:val="-2"/>
          <w:w w:val="120"/>
        </w:rPr>
        <w:t> </w:t>
      </w:r>
      <w:r>
        <w:rPr>
          <w:i/>
          <w:w w:val="120"/>
        </w:rPr>
        <w:t>American City</w:t>
      </w:r>
      <w:r>
        <w:rPr>
          <w:w w:val="120"/>
        </w:rPr>
        <w:t>, have shown that they are also disproportionately likely to be in a </w:t>
      </w:r>
      <w:r>
        <w:rPr>
          <w:spacing w:val="-2"/>
          <w:w w:val="120"/>
        </w:rPr>
        <w:t>household</w:t>
      </w:r>
      <w:r>
        <w:rPr>
          <w:spacing w:val="-10"/>
          <w:w w:val="120"/>
        </w:rPr>
        <w:t> </w:t>
      </w:r>
      <w:r>
        <w:rPr>
          <w:spacing w:val="-2"/>
          <w:w w:val="120"/>
        </w:rPr>
        <w:t>subject</w:t>
      </w:r>
      <w:r>
        <w:rPr>
          <w:spacing w:val="-10"/>
          <w:w w:val="120"/>
        </w:rPr>
        <w:t> </w:t>
      </w:r>
      <w:r>
        <w:rPr>
          <w:spacing w:val="-2"/>
          <w:w w:val="120"/>
        </w:rPr>
        <w:t>to</w:t>
      </w:r>
      <w:r>
        <w:rPr>
          <w:spacing w:val="-11"/>
          <w:w w:val="120"/>
        </w:rPr>
        <w:t> </w:t>
      </w:r>
      <w:r>
        <w:rPr>
          <w:spacing w:val="-2"/>
          <w:w w:val="120"/>
        </w:rPr>
        <w:t>eviction.</w:t>
      </w:r>
      <w:r>
        <w:rPr>
          <w:spacing w:val="-11"/>
          <w:w w:val="120"/>
        </w:rPr>
        <w:t> </w:t>
      </w:r>
      <w:r>
        <w:rPr>
          <w:spacing w:val="-2"/>
          <w:w w:val="120"/>
        </w:rPr>
        <w:t>While </w:t>
      </w:r>
      <w:r>
        <w:rPr>
          <w:w w:val="120"/>
        </w:rPr>
        <w:t>this observation runs counter to the general sentiment that youth need heightened protections under the law, Desmond concluded that “the presence</w:t>
      </w:r>
      <w:r>
        <w:rPr>
          <w:spacing w:val="-3"/>
          <w:w w:val="120"/>
        </w:rPr>
        <w:t> </w:t>
      </w:r>
      <w:r>
        <w:rPr>
          <w:w w:val="120"/>
        </w:rPr>
        <w:t>of</w:t>
      </w:r>
      <w:r>
        <w:rPr>
          <w:spacing w:val="-3"/>
          <w:w w:val="120"/>
        </w:rPr>
        <w:t> </w:t>
      </w:r>
      <w:r>
        <w:rPr>
          <w:w w:val="120"/>
        </w:rPr>
        <w:t>children</w:t>
      </w:r>
      <w:r>
        <w:rPr>
          <w:spacing w:val="-2"/>
          <w:w w:val="120"/>
        </w:rPr>
        <w:t> </w:t>
      </w:r>
      <w:r>
        <w:rPr>
          <w:w w:val="120"/>
        </w:rPr>
        <w:t>in</w:t>
      </w:r>
      <w:r>
        <w:rPr>
          <w:spacing w:val="-2"/>
          <w:w w:val="120"/>
        </w:rPr>
        <w:t> </w:t>
      </w:r>
      <w:r>
        <w:rPr>
          <w:w w:val="120"/>
        </w:rPr>
        <w:t>a</w:t>
      </w:r>
      <w:r>
        <w:rPr>
          <w:spacing w:val="-2"/>
          <w:w w:val="120"/>
        </w:rPr>
        <w:t> </w:t>
      </w:r>
      <w:r>
        <w:rPr>
          <w:w w:val="120"/>
        </w:rPr>
        <w:t>household was more important to explaining the distribution of evictions across neighborhoods and the distribution </w:t>
      </w:r>
      <w:r>
        <w:rPr>
          <w:spacing w:val="-2"/>
          <w:w w:val="120"/>
        </w:rPr>
        <w:t>of</w:t>
      </w:r>
      <w:r>
        <w:rPr>
          <w:spacing w:val="-6"/>
          <w:w w:val="120"/>
        </w:rPr>
        <w:t> </w:t>
      </w:r>
      <w:r>
        <w:rPr>
          <w:spacing w:val="-2"/>
          <w:w w:val="120"/>
        </w:rPr>
        <w:t>eviction</w:t>
      </w:r>
      <w:r>
        <w:rPr>
          <w:spacing w:val="-5"/>
          <w:w w:val="120"/>
        </w:rPr>
        <w:t> </w:t>
      </w:r>
      <w:r>
        <w:rPr>
          <w:spacing w:val="-2"/>
          <w:w w:val="120"/>
        </w:rPr>
        <w:t>judgments</w:t>
      </w:r>
      <w:r>
        <w:rPr>
          <w:spacing w:val="-6"/>
          <w:w w:val="120"/>
        </w:rPr>
        <w:t> </w:t>
      </w:r>
      <w:r>
        <w:rPr>
          <w:spacing w:val="-2"/>
          <w:w w:val="120"/>
        </w:rPr>
        <w:t>across</w:t>
      </w:r>
      <w:r>
        <w:rPr>
          <w:spacing w:val="-6"/>
          <w:w w:val="120"/>
        </w:rPr>
        <w:t> </w:t>
      </w:r>
      <w:r>
        <w:rPr>
          <w:spacing w:val="-2"/>
          <w:w w:val="120"/>
        </w:rPr>
        <w:t>tenants </w:t>
      </w:r>
      <w:r>
        <w:rPr>
          <w:w w:val="120"/>
        </w:rPr>
        <w:t>who appeared in court than were factors</w:t>
      </w:r>
      <w:r>
        <w:rPr>
          <w:spacing w:val="-6"/>
          <w:w w:val="120"/>
        </w:rPr>
        <w:t> </w:t>
      </w:r>
      <w:r>
        <w:rPr>
          <w:w w:val="120"/>
        </w:rPr>
        <w:t>associated</w:t>
      </w:r>
      <w:r>
        <w:rPr>
          <w:spacing w:val="-5"/>
          <w:w w:val="120"/>
        </w:rPr>
        <w:t> </w:t>
      </w:r>
      <w:r>
        <w:rPr>
          <w:w w:val="120"/>
        </w:rPr>
        <w:t>with</w:t>
      </w:r>
      <w:r>
        <w:rPr>
          <w:spacing w:val="-5"/>
          <w:w w:val="120"/>
        </w:rPr>
        <w:t> </w:t>
      </w:r>
      <w:r>
        <w:rPr>
          <w:w w:val="120"/>
        </w:rPr>
        <w:t>race,</w:t>
      </w:r>
      <w:r>
        <w:rPr>
          <w:spacing w:val="-5"/>
          <w:w w:val="120"/>
        </w:rPr>
        <w:t> </w:t>
      </w:r>
      <w:r>
        <w:rPr>
          <w:w w:val="120"/>
        </w:rPr>
        <w:t>gender or class.”</w:t>
      </w:r>
      <w:r>
        <w:rPr>
          <w:w w:val="120"/>
          <w:position w:val="6"/>
          <w:sz w:val="10"/>
        </w:rPr>
        <w:t>9</w:t>
      </w:r>
      <w:r>
        <w:rPr>
          <w:spacing w:val="80"/>
          <w:w w:val="120"/>
          <w:position w:val="6"/>
          <w:sz w:val="10"/>
        </w:rPr>
        <w:t> </w:t>
      </w:r>
      <w:r>
        <w:rPr>
          <w:w w:val="120"/>
        </w:rPr>
        <w:t>The negative impact on children is obvious.</w:t>
      </w:r>
    </w:p>
    <w:p>
      <w:pPr>
        <w:spacing w:after="0" w:line="290" w:lineRule="auto"/>
        <w:sectPr>
          <w:pgSz w:w="12060" w:h="15660"/>
          <w:pgMar w:header="0" w:footer="971" w:top="1020" w:bottom="1160" w:left="740" w:right="660"/>
          <w:cols w:num="3" w:equalWidth="0">
            <w:col w:w="3501" w:space="40"/>
            <w:col w:w="3273" w:space="92"/>
            <w:col w:w="375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spacing w:line="232" w:lineRule="auto" w:before="115"/>
        <w:ind w:left="664" w:right="570" w:firstLine="913"/>
        <w:jc w:val="left"/>
        <w:rPr>
          <w:rFonts w:ascii="Arial"/>
          <w:b/>
          <w:sz w:val="81"/>
        </w:rPr>
      </w:pPr>
      <w:r>
        <w:rPr/>
        <mc:AlternateContent>
          <mc:Choice Requires="wps">
            <w:drawing>
              <wp:anchor distT="0" distB="0" distL="0" distR="0" allowOverlap="1" layoutInCell="1" locked="0" behindDoc="1" simplePos="0" relativeHeight="487455744">
                <wp:simplePos x="0" y="0"/>
                <wp:positionH relativeFrom="page">
                  <wp:posOffset>739281</wp:posOffset>
                </wp:positionH>
                <wp:positionV relativeFrom="paragraph">
                  <wp:posOffset>-1734889</wp:posOffset>
                </wp:positionV>
                <wp:extent cx="6433820" cy="431990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6433820" cy="4319905"/>
                          <a:chExt cx="6433820" cy="4319905"/>
                        </a:xfrm>
                      </wpg:grpSpPr>
                      <pic:pic>
                        <pic:nvPicPr>
                          <pic:cNvPr id="9" name="Image 9"/>
                          <pic:cNvPicPr/>
                        </pic:nvPicPr>
                        <pic:blipFill>
                          <a:blip r:embed="rId9" cstate="print"/>
                          <a:stretch>
                            <a:fillRect/>
                          </a:stretch>
                        </pic:blipFill>
                        <pic:spPr>
                          <a:xfrm>
                            <a:off x="17841" y="17872"/>
                            <a:ext cx="6398056" cy="4105239"/>
                          </a:xfrm>
                          <a:prstGeom prst="rect">
                            <a:avLst/>
                          </a:prstGeom>
                        </pic:spPr>
                      </pic:pic>
                      <wps:wsp>
                        <wps:cNvPr id="10" name="Graphic 10"/>
                        <wps:cNvSpPr/>
                        <wps:spPr>
                          <a:xfrm>
                            <a:off x="17876" y="17876"/>
                            <a:ext cx="6398260" cy="4260850"/>
                          </a:xfrm>
                          <a:custGeom>
                            <a:avLst/>
                            <a:gdLst/>
                            <a:ahLst/>
                            <a:cxnLst/>
                            <a:rect l="l" t="t" r="r" b="b"/>
                            <a:pathLst>
                              <a:path w="6398260" h="4260850">
                                <a:moveTo>
                                  <a:pt x="0" y="0"/>
                                </a:moveTo>
                                <a:lnTo>
                                  <a:pt x="6397984" y="0"/>
                                </a:lnTo>
                                <a:lnTo>
                                  <a:pt x="6397984" y="4260448"/>
                                </a:lnTo>
                                <a:lnTo>
                                  <a:pt x="0" y="4260448"/>
                                </a:lnTo>
                                <a:lnTo>
                                  <a:pt x="0" y="0"/>
                                </a:lnTo>
                                <a:close/>
                              </a:path>
                            </a:pathLst>
                          </a:custGeom>
                          <a:ln w="35752">
                            <a:solidFill>
                              <a:srgbClr val="000000"/>
                            </a:solidFill>
                            <a:prstDash val="solid"/>
                          </a:ln>
                        </wps:spPr>
                        <wps:bodyPr wrap="square" lIns="0" tIns="0" rIns="0" bIns="0" rtlCol="0">
                          <a:prstTxWarp prst="textNoShape">
                            <a:avLst/>
                          </a:prstTxWarp>
                          <a:noAutofit/>
                        </wps:bodyPr>
                      </wps:wsp>
                      <wps:wsp>
                        <wps:cNvPr id="11" name="Graphic 11"/>
                        <wps:cNvSpPr/>
                        <wps:spPr>
                          <a:xfrm>
                            <a:off x="17848" y="3055087"/>
                            <a:ext cx="6398260" cy="1264920"/>
                          </a:xfrm>
                          <a:custGeom>
                            <a:avLst/>
                            <a:gdLst/>
                            <a:ahLst/>
                            <a:cxnLst/>
                            <a:rect l="l" t="t" r="r" b="b"/>
                            <a:pathLst>
                              <a:path w="6398260" h="1264920">
                                <a:moveTo>
                                  <a:pt x="6398056" y="1264669"/>
                                </a:moveTo>
                                <a:lnTo>
                                  <a:pt x="0" y="1264669"/>
                                </a:lnTo>
                                <a:lnTo>
                                  <a:pt x="0" y="0"/>
                                </a:lnTo>
                                <a:lnTo>
                                  <a:pt x="6398056" y="0"/>
                                </a:lnTo>
                                <a:lnTo>
                                  <a:pt x="6398056" y="1264669"/>
                                </a:lnTo>
                                <a:close/>
                              </a:path>
                            </a:pathLst>
                          </a:custGeom>
                          <a:solidFill>
                            <a:srgbClr val="000000"/>
                          </a:solidFill>
                        </wps:spPr>
                        <wps:bodyPr wrap="square" lIns="0" tIns="0" rIns="0" bIns="0" rtlCol="0">
                          <a:prstTxWarp prst="textNoShape">
                            <a:avLst/>
                          </a:prstTxWarp>
                          <a:noAutofit/>
                        </wps:bodyPr>
                      </wps:wsp>
                      <pic:pic>
                        <pic:nvPicPr>
                          <pic:cNvPr id="12" name="Image 12"/>
                          <pic:cNvPicPr/>
                        </pic:nvPicPr>
                        <pic:blipFill>
                          <a:blip r:embed="rId10" cstate="print"/>
                          <a:stretch>
                            <a:fillRect/>
                          </a:stretch>
                        </pic:blipFill>
                        <pic:spPr>
                          <a:xfrm>
                            <a:off x="226222" y="3135608"/>
                            <a:ext cx="1039672" cy="1076318"/>
                          </a:xfrm>
                          <a:prstGeom prst="rect">
                            <a:avLst/>
                          </a:prstGeom>
                        </pic:spPr>
                      </pic:pic>
                    </wpg:wgp>
                  </a:graphicData>
                </a:graphic>
              </wp:anchor>
            </w:drawing>
          </mc:Choice>
          <mc:Fallback>
            <w:pict>
              <v:group style="position:absolute;margin-left:58.211178pt;margin-top:-136.605438pt;width:506.6pt;height:340.15pt;mso-position-horizontal-relative:page;mso-position-vertical-relative:paragraph;z-index:-15860736" id="docshapegroup4" coordorigin="1164,-2732" coordsize="10132,6803">
                <v:shape style="position:absolute;left:1192;top:-2704;width:10076;height:6465" type="#_x0000_t75" id="docshape5" stroked="false">
                  <v:imagedata r:id="rId9" o:title=""/>
                </v:shape>
                <v:rect style="position:absolute;left:1192;top:-2704;width:10076;height:6710" id="docshape6" filled="false" stroked="true" strokeweight="2.81515pt" strokecolor="#000000">
                  <v:stroke dashstyle="solid"/>
                </v:rect>
                <v:rect style="position:absolute;left:1192;top:2079;width:10076;height:1992" id="docshape7" filled="true" fillcolor="#000000" stroked="false">
                  <v:fill type="solid"/>
                </v:rect>
                <v:shape style="position:absolute;left:1520;top:2205;width:1638;height:1695" type="#_x0000_t75" id="docshape8" stroked="false">
                  <v:imagedata r:id="rId10" o:title=""/>
                </v:shape>
                <w10:wrap type="none"/>
              </v:group>
            </w:pict>
          </mc:Fallback>
        </mc:AlternateContent>
      </w:r>
      <w:r>
        <w:rPr>
          <w:rFonts w:ascii="Arial"/>
          <w:b/>
          <w:spacing w:val="-36"/>
          <w:sz w:val="81"/>
        </w:rPr>
        <w:t>It's</w:t>
      </w:r>
      <w:r>
        <w:rPr>
          <w:rFonts w:ascii="Arial"/>
          <w:b/>
          <w:spacing w:val="-79"/>
          <w:sz w:val="81"/>
        </w:rPr>
        <w:t> </w:t>
      </w:r>
      <w:r>
        <w:rPr>
          <w:rFonts w:ascii="Arial"/>
          <w:b/>
          <w:spacing w:val="-36"/>
          <w:sz w:val="81"/>
        </w:rPr>
        <w:t>time</w:t>
      </w:r>
      <w:r>
        <w:rPr>
          <w:rFonts w:ascii="Arial"/>
          <w:b/>
          <w:spacing w:val="-77"/>
          <w:sz w:val="81"/>
        </w:rPr>
        <w:t> </w:t>
      </w:r>
      <w:r>
        <w:rPr>
          <w:rFonts w:ascii="Arial"/>
          <w:b/>
          <w:spacing w:val="-36"/>
          <w:sz w:val="81"/>
        </w:rPr>
        <w:t>to</w:t>
      </w:r>
      <w:r>
        <w:rPr>
          <w:rFonts w:ascii="Arial"/>
          <w:b/>
          <w:spacing w:val="-77"/>
          <w:sz w:val="81"/>
        </w:rPr>
        <w:t> </w:t>
      </w:r>
      <w:r>
        <w:rPr>
          <w:rFonts w:ascii="Arial"/>
          <w:b/>
          <w:spacing w:val="-36"/>
          <w:sz w:val="81"/>
        </w:rPr>
        <w:t>renew</w:t>
      </w:r>
      <w:r>
        <w:rPr>
          <w:rFonts w:ascii="Arial"/>
          <w:b/>
          <w:spacing w:val="-77"/>
          <w:sz w:val="81"/>
        </w:rPr>
        <w:t> </w:t>
      </w:r>
      <w:r>
        <w:rPr>
          <w:rFonts w:ascii="Arial"/>
          <w:b/>
          <w:spacing w:val="-36"/>
          <w:sz w:val="81"/>
        </w:rPr>
        <w:t>your </w:t>
      </w:r>
      <w:r>
        <w:rPr>
          <w:rFonts w:ascii="Arial"/>
          <w:b/>
          <w:spacing w:val="-38"/>
          <w:sz w:val="81"/>
        </w:rPr>
        <w:t>2023-24</w:t>
      </w:r>
      <w:r>
        <w:rPr>
          <w:rFonts w:ascii="Arial"/>
          <w:b/>
          <w:spacing w:val="-77"/>
          <w:sz w:val="81"/>
        </w:rPr>
        <w:t> </w:t>
      </w:r>
      <w:r>
        <w:rPr>
          <w:rFonts w:ascii="Arial"/>
          <w:b/>
          <w:spacing w:val="-38"/>
          <w:sz w:val="81"/>
        </w:rPr>
        <w:t>ISBA</w:t>
      </w:r>
      <w:r>
        <w:rPr>
          <w:rFonts w:ascii="Arial"/>
          <w:b/>
          <w:spacing w:val="-77"/>
          <w:sz w:val="81"/>
        </w:rPr>
        <w:t> </w:t>
      </w:r>
      <w:r>
        <w:rPr>
          <w:rFonts w:ascii="Arial"/>
          <w:b/>
          <w:spacing w:val="-38"/>
          <w:sz w:val="81"/>
        </w:rPr>
        <w:t>membership.</w:t>
      </w:r>
    </w:p>
    <w:p>
      <w:pPr>
        <w:pStyle w:val="BodyText"/>
        <w:spacing w:before="6"/>
        <w:rPr>
          <w:rFonts w:ascii="Arial"/>
          <w:b/>
          <w:sz w:val="11"/>
        </w:rPr>
      </w:pPr>
      <w:r>
        <w:rPr/>
        <mc:AlternateContent>
          <mc:Choice Requires="wps">
            <w:drawing>
              <wp:anchor distT="0" distB="0" distL="0" distR="0" allowOverlap="1" layoutInCell="1" locked="0" behindDoc="1" simplePos="0" relativeHeight="487589888">
                <wp:simplePos x="0" y="0"/>
                <wp:positionH relativeFrom="page">
                  <wp:posOffset>757130</wp:posOffset>
                </wp:positionH>
                <wp:positionV relativeFrom="paragraph">
                  <wp:posOffset>99370</wp:posOffset>
                </wp:positionV>
                <wp:extent cx="6398260" cy="1264920"/>
                <wp:effectExtent l="0" t="0" r="0" b="0"/>
                <wp:wrapTopAndBottom/>
                <wp:docPr id="13" name="Textbox 13"/>
                <wp:cNvGraphicFramePr>
                  <a:graphicFrameLocks/>
                </wp:cNvGraphicFramePr>
                <a:graphic>
                  <a:graphicData uri="http://schemas.microsoft.com/office/word/2010/wordprocessingShape">
                    <wps:wsp>
                      <wps:cNvPr id="13" name="Textbox 13"/>
                      <wps:cNvSpPr txBox="1"/>
                      <wps:spPr>
                        <a:xfrm>
                          <a:off x="0" y="0"/>
                          <a:ext cx="6398260" cy="1264920"/>
                        </a:xfrm>
                        <a:prstGeom prst="rect">
                          <a:avLst/>
                        </a:prstGeom>
                      </wps:spPr>
                      <wps:txbx>
                        <w:txbxContent>
                          <w:p>
                            <w:pPr>
                              <w:spacing w:line="290" w:lineRule="auto" w:before="6"/>
                              <w:ind w:left="2324" w:right="822" w:firstLine="0"/>
                              <w:jc w:val="center"/>
                              <w:rPr>
                                <w:rFonts w:ascii="Arial"/>
                                <w:b/>
                                <w:sz w:val="46"/>
                              </w:rPr>
                            </w:pPr>
                            <w:r>
                              <w:rPr>
                                <w:rFonts w:ascii="Arial"/>
                                <w:b/>
                                <w:color w:val="FFFFFF"/>
                                <w:spacing w:val="-10"/>
                                <w:sz w:val="46"/>
                              </w:rPr>
                              <w:t>Log</w:t>
                            </w:r>
                            <w:r>
                              <w:rPr>
                                <w:rFonts w:ascii="Arial"/>
                                <w:b/>
                                <w:color w:val="FFFFFF"/>
                                <w:spacing w:val="-20"/>
                                <w:sz w:val="46"/>
                              </w:rPr>
                              <w:t> </w:t>
                            </w:r>
                            <w:r>
                              <w:rPr>
                                <w:rFonts w:ascii="Arial"/>
                                <w:b/>
                                <w:color w:val="FFFFFF"/>
                                <w:spacing w:val="-10"/>
                                <w:sz w:val="46"/>
                              </w:rPr>
                              <w:t>in</w:t>
                            </w:r>
                            <w:r>
                              <w:rPr>
                                <w:rFonts w:ascii="Arial"/>
                                <w:b/>
                                <w:color w:val="FFFFFF"/>
                                <w:spacing w:val="-20"/>
                                <w:sz w:val="46"/>
                              </w:rPr>
                              <w:t> </w:t>
                            </w:r>
                            <w:r>
                              <w:rPr>
                                <w:rFonts w:ascii="Arial"/>
                                <w:b/>
                                <w:color w:val="FFFFFF"/>
                                <w:spacing w:val="-10"/>
                                <w:sz w:val="46"/>
                              </w:rPr>
                              <w:t>at</w:t>
                            </w:r>
                            <w:r>
                              <w:rPr>
                                <w:rFonts w:ascii="Arial"/>
                                <w:b/>
                                <w:color w:val="FFFFFF"/>
                                <w:spacing w:val="-20"/>
                                <w:sz w:val="46"/>
                              </w:rPr>
                              <w:t> </w:t>
                            </w:r>
                            <w:hyperlink r:id="rId11">
                              <w:r>
                                <w:rPr>
                                  <w:rFonts w:ascii="Arial"/>
                                  <w:b/>
                                  <w:color w:val="FFFFFF"/>
                                  <w:spacing w:val="-10"/>
                                  <w:sz w:val="46"/>
                                </w:rPr>
                                <w:t>www.inbar.org</w:t>
                              </w:r>
                            </w:hyperlink>
                            <w:r>
                              <w:rPr>
                                <w:rFonts w:ascii="Arial"/>
                                <w:b/>
                                <w:color w:val="FFFFFF"/>
                                <w:spacing w:val="-20"/>
                                <w:sz w:val="46"/>
                              </w:rPr>
                              <w:t> </w:t>
                            </w:r>
                            <w:r>
                              <w:rPr>
                                <w:rFonts w:ascii="Arial"/>
                                <w:b/>
                                <w:color w:val="FFFFFF"/>
                                <w:spacing w:val="-10"/>
                                <w:sz w:val="46"/>
                              </w:rPr>
                              <w:t>to</w:t>
                            </w:r>
                            <w:r>
                              <w:rPr>
                                <w:rFonts w:ascii="Arial"/>
                                <w:b/>
                                <w:color w:val="FFFFFF"/>
                                <w:spacing w:val="-20"/>
                                <w:sz w:val="46"/>
                              </w:rPr>
                              <w:t> </w:t>
                            </w:r>
                            <w:r>
                              <w:rPr>
                                <w:rFonts w:ascii="Arial"/>
                                <w:b/>
                                <w:color w:val="FFFFFF"/>
                                <w:spacing w:val="-10"/>
                                <w:sz w:val="46"/>
                              </w:rPr>
                              <w:t>renew </w:t>
                            </w:r>
                            <w:r>
                              <w:rPr>
                                <w:rFonts w:ascii="Arial"/>
                                <w:b/>
                                <w:color w:val="FFFFFF"/>
                                <w:w w:val="90"/>
                                <w:sz w:val="46"/>
                              </w:rPr>
                              <w:t>and</w:t>
                            </w:r>
                            <w:r>
                              <w:rPr>
                                <w:rFonts w:ascii="Arial"/>
                                <w:b/>
                                <w:color w:val="FFFFFF"/>
                                <w:spacing w:val="-11"/>
                                <w:w w:val="90"/>
                                <w:sz w:val="46"/>
                              </w:rPr>
                              <w:t> </w:t>
                            </w:r>
                            <w:r>
                              <w:rPr>
                                <w:rFonts w:ascii="Arial"/>
                                <w:b/>
                                <w:color w:val="FFFFFF"/>
                                <w:w w:val="90"/>
                                <w:sz w:val="46"/>
                              </w:rPr>
                              <w:t>keep</w:t>
                            </w:r>
                            <w:r>
                              <w:rPr>
                                <w:rFonts w:ascii="Arial"/>
                                <w:b/>
                                <w:color w:val="FFFFFF"/>
                                <w:spacing w:val="-10"/>
                                <w:w w:val="90"/>
                                <w:sz w:val="46"/>
                              </w:rPr>
                              <w:t> </w:t>
                            </w:r>
                            <w:r>
                              <w:rPr>
                                <w:rFonts w:ascii="Arial"/>
                                <w:b/>
                                <w:color w:val="FFFFFF"/>
                                <w:w w:val="90"/>
                                <w:sz w:val="46"/>
                              </w:rPr>
                              <w:t>receiving</w:t>
                            </w:r>
                            <w:r>
                              <w:rPr>
                                <w:rFonts w:ascii="Arial"/>
                                <w:b/>
                                <w:color w:val="FFFFFF"/>
                                <w:spacing w:val="-10"/>
                                <w:w w:val="90"/>
                                <w:sz w:val="46"/>
                              </w:rPr>
                              <w:t> </w:t>
                            </w:r>
                            <w:r>
                              <w:rPr>
                                <w:rFonts w:ascii="Arial-BoldItalicMT"/>
                                <w:b/>
                                <w:i/>
                                <w:color w:val="FFFFFF"/>
                                <w:w w:val="90"/>
                                <w:sz w:val="46"/>
                              </w:rPr>
                              <w:t>Res</w:t>
                            </w:r>
                            <w:r>
                              <w:rPr>
                                <w:rFonts w:ascii="Arial-BoldItalicMT"/>
                                <w:b/>
                                <w:i/>
                                <w:color w:val="FFFFFF"/>
                                <w:spacing w:val="-20"/>
                                <w:w w:val="90"/>
                                <w:sz w:val="46"/>
                              </w:rPr>
                              <w:t> </w:t>
                            </w:r>
                            <w:r>
                              <w:rPr>
                                <w:rFonts w:ascii="Arial-BoldItalicMT"/>
                                <w:b/>
                                <w:i/>
                                <w:color w:val="FFFFFF"/>
                                <w:w w:val="90"/>
                                <w:sz w:val="46"/>
                              </w:rPr>
                              <w:t>Gestae</w:t>
                            </w:r>
                            <w:r>
                              <w:rPr>
                                <w:rFonts w:ascii="Arial-BoldItalicMT"/>
                                <w:b/>
                                <w:i/>
                                <w:color w:val="FFFFFF"/>
                                <w:spacing w:val="-9"/>
                                <w:w w:val="90"/>
                                <w:sz w:val="46"/>
                              </w:rPr>
                              <w:t> </w:t>
                            </w:r>
                            <w:r>
                              <w:rPr>
                                <w:rFonts w:ascii="Arial"/>
                                <w:b/>
                                <w:color w:val="FFFFFF"/>
                                <w:w w:val="90"/>
                                <w:sz w:val="46"/>
                              </w:rPr>
                              <w:t>and </w:t>
                            </w:r>
                            <w:r>
                              <w:rPr>
                                <w:rFonts w:ascii="Arial"/>
                                <w:b/>
                                <w:color w:val="FFFFFF"/>
                                <w:spacing w:val="-8"/>
                                <w:sz w:val="46"/>
                              </w:rPr>
                              <w:t>other</w:t>
                            </w:r>
                            <w:r>
                              <w:rPr>
                                <w:rFonts w:ascii="Arial"/>
                                <w:b/>
                                <w:color w:val="FFFFFF"/>
                                <w:spacing w:val="-24"/>
                                <w:sz w:val="46"/>
                              </w:rPr>
                              <w:t> </w:t>
                            </w:r>
                            <w:r>
                              <w:rPr>
                                <w:rFonts w:ascii="Arial"/>
                                <w:b/>
                                <w:color w:val="FFFFFF"/>
                                <w:spacing w:val="-8"/>
                                <w:sz w:val="46"/>
                              </w:rPr>
                              <w:t>membership</w:t>
                            </w:r>
                            <w:r>
                              <w:rPr>
                                <w:rFonts w:ascii="Arial"/>
                                <w:b/>
                                <w:color w:val="FFFFFF"/>
                                <w:spacing w:val="-24"/>
                                <w:sz w:val="46"/>
                              </w:rPr>
                              <w:t> </w:t>
                            </w:r>
                            <w:r>
                              <w:rPr>
                                <w:rFonts w:ascii="Arial"/>
                                <w:b/>
                                <w:color w:val="FFFFFF"/>
                                <w:spacing w:val="-8"/>
                                <w:sz w:val="46"/>
                              </w:rPr>
                              <w:t>benefits.</w:t>
                            </w:r>
                          </w:p>
                        </w:txbxContent>
                      </wps:txbx>
                      <wps:bodyPr wrap="square" lIns="0" tIns="0" rIns="0" bIns="0" rtlCol="0">
                        <a:noAutofit/>
                      </wps:bodyPr>
                    </wps:wsp>
                  </a:graphicData>
                </a:graphic>
              </wp:anchor>
            </w:drawing>
          </mc:Choice>
          <mc:Fallback>
            <w:pict>
              <v:shape style="position:absolute;margin-left:59.616581pt;margin-top:7.824463pt;width:503.8pt;height:99.6pt;mso-position-horizontal-relative:page;mso-position-vertical-relative:paragraph;z-index:-15726592;mso-wrap-distance-left:0;mso-wrap-distance-right:0" type="#_x0000_t202" id="docshape9" filled="false" stroked="false">
                <v:textbox inset="0,0,0,0">
                  <w:txbxContent>
                    <w:p>
                      <w:pPr>
                        <w:spacing w:line="290" w:lineRule="auto" w:before="6"/>
                        <w:ind w:left="2324" w:right="822" w:firstLine="0"/>
                        <w:jc w:val="center"/>
                        <w:rPr>
                          <w:rFonts w:ascii="Arial"/>
                          <w:b/>
                          <w:sz w:val="46"/>
                        </w:rPr>
                      </w:pPr>
                      <w:r>
                        <w:rPr>
                          <w:rFonts w:ascii="Arial"/>
                          <w:b/>
                          <w:color w:val="FFFFFF"/>
                          <w:spacing w:val="-10"/>
                          <w:sz w:val="46"/>
                        </w:rPr>
                        <w:t>Log</w:t>
                      </w:r>
                      <w:r>
                        <w:rPr>
                          <w:rFonts w:ascii="Arial"/>
                          <w:b/>
                          <w:color w:val="FFFFFF"/>
                          <w:spacing w:val="-20"/>
                          <w:sz w:val="46"/>
                        </w:rPr>
                        <w:t> </w:t>
                      </w:r>
                      <w:r>
                        <w:rPr>
                          <w:rFonts w:ascii="Arial"/>
                          <w:b/>
                          <w:color w:val="FFFFFF"/>
                          <w:spacing w:val="-10"/>
                          <w:sz w:val="46"/>
                        </w:rPr>
                        <w:t>in</w:t>
                      </w:r>
                      <w:r>
                        <w:rPr>
                          <w:rFonts w:ascii="Arial"/>
                          <w:b/>
                          <w:color w:val="FFFFFF"/>
                          <w:spacing w:val="-20"/>
                          <w:sz w:val="46"/>
                        </w:rPr>
                        <w:t> </w:t>
                      </w:r>
                      <w:r>
                        <w:rPr>
                          <w:rFonts w:ascii="Arial"/>
                          <w:b/>
                          <w:color w:val="FFFFFF"/>
                          <w:spacing w:val="-10"/>
                          <w:sz w:val="46"/>
                        </w:rPr>
                        <w:t>at</w:t>
                      </w:r>
                      <w:r>
                        <w:rPr>
                          <w:rFonts w:ascii="Arial"/>
                          <w:b/>
                          <w:color w:val="FFFFFF"/>
                          <w:spacing w:val="-20"/>
                          <w:sz w:val="46"/>
                        </w:rPr>
                        <w:t> </w:t>
                      </w:r>
                      <w:hyperlink r:id="rId11">
                        <w:r>
                          <w:rPr>
                            <w:rFonts w:ascii="Arial"/>
                            <w:b/>
                            <w:color w:val="FFFFFF"/>
                            <w:spacing w:val="-10"/>
                            <w:sz w:val="46"/>
                          </w:rPr>
                          <w:t>www.inbar.org</w:t>
                        </w:r>
                      </w:hyperlink>
                      <w:r>
                        <w:rPr>
                          <w:rFonts w:ascii="Arial"/>
                          <w:b/>
                          <w:color w:val="FFFFFF"/>
                          <w:spacing w:val="-20"/>
                          <w:sz w:val="46"/>
                        </w:rPr>
                        <w:t> </w:t>
                      </w:r>
                      <w:r>
                        <w:rPr>
                          <w:rFonts w:ascii="Arial"/>
                          <w:b/>
                          <w:color w:val="FFFFFF"/>
                          <w:spacing w:val="-10"/>
                          <w:sz w:val="46"/>
                        </w:rPr>
                        <w:t>to</w:t>
                      </w:r>
                      <w:r>
                        <w:rPr>
                          <w:rFonts w:ascii="Arial"/>
                          <w:b/>
                          <w:color w:val="FFFFFF"/>
                          <w:spacing w:val="-20"/>
                          <w:sz w:val="46"/>
                        </w:rPr>
                        <w:t> </w:t>
                      </w:r>
                      <w:r>
                        <w:rPr>
                          <w:rFonts w:ascii="Arial"/>
                          <w:b/>
                          <w:color w:val="FFFFFF"/>
                          <w:spacing w:val="-10"/>
                          <w:sz w:val="46"/>
                        </w:rPr>
                        <w:t>renew </w:t>
                      </w:r>
                      <w:r>
                        <w:rPr>
                          <w:rFonts w:ascii="Arial"/>
                          <w:b/>
                          <w:color w:val="FFFFFF"/>
                          <w:w w:val="90"/>
                          <w:sz w:val="46"/>
                        </w:rPr>
                        <w:t>and</w:t>
                      </w:r>
                      <w:r>
                        <w:rPr>
                          <w:rFonts w:ascii="Arial"/>
                          <w:b/>
                          <w:color w:val="FFFFFF"/>
                          <w:spacing w:val="-11"/>
                          <w:w w:val="90"/>
                          <w:sz w:val="46"/>
                        </w:rPr>
                        <w:t> </w:t>
                      </w:r>
                      <w:r>
                        <w:rPr>
                          <w:rFonts w:ascii="Arial"/>
                          <w:b/>
                          <w:color w:val="FFFFFF"/>
                          <w:w w:val="90"/>
                          <w:sz w:val="46"/>
                        </w:rPr>
                        <w:t>keep</w:t>
                      </w:r>
                      <w:r>
                        <w:rPr>
                          <w:rFonts w:ascii="Arial"/>
                          <w:b/>
                          <w:color w:val="FFFFFF"/>
                          <w:spacing w:val="-10"/>
                          <w:w w:val="90"/>
                          <w:sz w:val="46"/>
                        </w:rPr>
                        <w:t> </w:t>
                      </w:r>
                      <w:r>
                        <w:rPr>
                          <w:rFonts w:ascii="Arial"/>
                          <w:b/>
                          <w:color w:val="FFFFFF"/>
                          <w:w w:val="90"/>
                          <w:sz w:val="46"/>
                        </w:rPr>
                        <w:t>receiving</w:t>
                      </w:r>
                      <w:r>
                        <w:rPr>
                          <w:rFonts w:ascii="Arial"/>
                          <w:b/>
                          <w:color w:val="FFFFFF"/>
                          <w:spacing w:val="-10"/>
                          <w:w w:val="90"/>
                          <w:sz w:val="46"/>
                        </w:rPr>
                        <w:t> </w:t>
                      </w:r>
                      <w:r>
                        <w:rPr>
                          <w:rFonts w:ascii="Arial-BoldItalicMT"/>
                          <w:b/>
                          <w:i/>
                          <w:color w:val="FFFFFF"/>
                          <w:w w:val="90"/>
                          <w:sz w:val="46"/>
                        </w:rPr>
                        <w:t>Res</w:t>
                      </w:r>
                      <w:r>
                        <w:rPr>
                          <w:rFonts w:ascii="Arial-BoldItalicMT"/>
                          <w:b/>
                          <w:i/>
                          <w:color w:val="FFFFFF"/>
                          <w:spacing w:val="-20"/>
                          <w:w w:val="90"/>
                          <w:sz w:val="46"/>
                        </w:rPr>
                        <w:t> </w:t>
                      </w:r>
                      <w:r>
                        <w:rPr>
                          <w:rFonts w:ascii="Arial-BoldItalicMT"/>
                          <w:b/>
                          <w:i/>
                          <w:color w:val="FFFFFF"/>
                          <w:w w:val="90"/>
                          <w:sz w:val="46"/>
                        </w:rPr>
                        <w:t>Gestae</w:t>
                      </w:r>
                      <w:r>
                        <w:rPr>
                          <w:rFonts w:ascii="Arial-BoldItalicMT"/>
                          <w:b/>
                          <w:i/>
                          <w:color w:val="FFFFFF"/>
                          <w:spacing w:val="-9"/>
                          <w:w w:val="90"/>
                          <w:sz w:val="46"/>
                        </w:rPr>
                        <w:t> </w:t>
                      </w:r>
                      <w:r>
                        <w:rPr>
                          <w:rFonts w:ascii="Arial"/>
                          <w:b/>
                          <w:color w:val="FFFFFF"/>
                          <w:w w:val="90"/>
                          <w:sz w:val="46"/>
                        </w:rPr>
                        <w:t>and </w:t>
                      </w:r>
                      <w:r>
                        <w:rPr>
                          <w:rFonts w:ascii="Arial"/>
                          <w:b/>
                          <w:color w:val="FFFFFF"/>
                          <w:spacing w:val="-8"/>
                          <w:sz w:val="46"/>
                        </w:rPr>
                        <w:t>other</w:t>
                      </w:r>
                      <w:r>
                        <w:rPr>
                          <w:rFonts w:ascii="Arial"/>
                          <w:b/>
                          <w:color w:val="FFFFFF"/>
                          <w:spacing w:val="-24"/>
                          <w:sz w:val="46"/>
                        </w:rPr>
                        <w:t> </w:t>
                      </w:r>
                      <w:r>
                        <w:rPr>
                          <w:rFonts w:ascii="Arial"/>
                          <w:b/>
                          <w:color w:val="FFFFFF"/>
                          <w:spacing w:val="-8"/>
                          <w:sz w:val="46"/>
                        </w:rPr>
                        <w:t>membership</w:t>
                      </w:r>
                      <w:r>
                        <w:rPr>
                          <w:rFonts w:ascii="Arial"/>
                          <w:b/>
                          <w:color w:val="FFFFFF"/>
                          <w:spacing w:val="-24"/>
                          <w:sz w:val="46"/>
                        </w:rPr>
                        <w:t> </w:t>
                      </w:r>
                      <w:r>
                        <w:rPr>
                          <w:rFonts w:ascii="Arial"/>
                          <w:b/>
                          <w:color w:val="FFFFFF"/>
                          <w:spacing w:val="-8"/>
                          <w:sz w:val="46"/>
                        </w:rPr>
                        <w:t>benefits.</w:t>
                      </w:r>
                    </w:p>
                  </w:txbxContent>
                </v:textbox>
                <w10:wrap type="topAndBottom"/>
              </v:shape>
            </w:pict>
          </mc:Fallback>
        </mc:AlternateContent>
      </w:r>
    </w:p>
    <w:p>
      <w:pPr>
        <w:spacing w:after="0"/>
        <w:rPr>
          <w:rFonts w:ascii="Arial"/>
          <w:sz w:val="11"/>
        </w:rPr>
        <w:sectPr>
          <w:type w:val="continuous"/>
          <w:pgSz w:w="12060" w:h="15660"/>
          <w:pgMar w:header="0" w:footer="972" w:top="1060" w:bottom="1160" w:left="740" w:right="660"/>
        </w:sectPr>
      </w:pPr>
    </w:p>
    <w:p>
      <w:pPr>
        <w:pStyle w:val="BodyText"/>
        <w:ind w:left="110"/>
        <w:rPr>
          <w:rFonts w:ascii="Arial"/>
          <w:sz w:val="20"/>
        </w:rPr>
      </w:pPr>
      <w:r>
        <w:rPr>
          <w:rFonts w:ascii="Arial"/>
          <w:sz w:val="20"/>
        </w:rPr>
        <w:drawing>
          <wp:inline distT="0" distB="0" distL="0" distR="0">
            <wp:extent cx="6402302" cy="3925824"/>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2" cstate="print"/>
                    <a:stretch>
                      <a:fillRect/>
                    </a:stretch>
                  </pic:blipFill>
                  <pic:spPr>
                    <a:xfrm>
                      <a:off x="0" y="0"/>
                      <a:ext cx="6402302" cy="3925824"/>
                    </a:xfrm>
                    <a:prstGeom prst="rect">
                      <a:avLst/>
                    </a:prstGeom>
                  </pic:spPr>
                </pic:pic>
              </a:graphicData>
            </a:graphic>
          </wp:inline>
        </w:drawing>
      </w:r>
      <w:r>
        <w:rPr>
          <w:rFonts w:ascii="Arial"/>
          <w:sz w:val="20"/>
        </w:rPr>
      </w:r>
    </w:p>
    <w:p>
      <w:pPr>
        <w:pStyle w:val="BodyText"/>
        <w:rPr>
          <w:rFonts w:ascii="Arial"/>
          <w:b/>
          <w:sz w:val="20"/>
        </w:rPr>
      </w:pPr>
    </w:p>
    <w:p>
      <w:pPr>
        <w:spacing w:after="0"/>
        <w:rPr>
          <w:rFonts w:ascii="Arial"/>
          <w:sz w:val="20"/>
        </w:rPr>
        <w:sectPr>
          <w:pgSz w:w="12060" w:h="15660"/>
          <w:pgMar w:header="0" w:footer="972" w:top="0" w:bottom="1160" w:left="740" w:right="660"/>
        </w:sectPr>
      </w:pPr>
    </w:p>
    <w:p>
      <w:pPr>
        <w:pStyle w:val="BodyText"/>
        <w:spacing w:before="10"/>
        <w:rPr>
          <w:rFonts w:ascii="Arial"/>
          <w:b/>
        </w:rPr>
      </w:pPr>
    </w:p>
    <w:p>
      <w:pPr>
        <w:pStyle w:val="BodyText"/>
        <w:spacing w:line="290" w:lineRule="auto"/>
        <w:ind w:left="110" w:right="41"/>
      </w:pPr>
      <w:r>
        <w:rPr>
          <w:w w:val="120"/>
        </w:rPr>
        <w:t>Evictions</w:t>
      </w:r>
      <w:r>
        <w:rPr>
          <w:spacing w:val="-13"/>
          <w:w w:val="120"/>
        </w:rPr>
        <w:t> </w:t>
      </w:r>
      <w:r>
        <w:rPr>
          <w:w w:val="120"/>
        </w:rPr>
        <w:t>often</w:t>
      </w:r>
      <w:r>
        <w:rPr>
          <w:spacing w:val="-12"/>
          <w:w w:val="120"/>
        </w:rPr>
        <w:t> </w:t>
      </w:r>
      <w:r>
        <w:rPr>
          <w:w w:val="120"/>
        </w:rPr>
        <w:t>lead</w:t>
      </w:r>
      <w:r>
        <w:rPr>
          <w:spacing w:val="-12"/>
          <w:w w:val="120"/>
        </w:rPr>
        <w:t> </w:t>
      </w:r>
      <w:r>
        <w:rPr>
          <w:w w:val="120"/>
        </w:rPr>
        <w:t>to</w:t>
      </w:r>
      <w:r>
        <w:rPr>
          <w:spacing w:val="-13"/>
          <w:w w:val="120"/>
        </w:rPr>
        <w:t> </w:t>
      </w:r>
      <w:r>
        <w:rPr>
          <w:w w:val="120"/>
        </w:rPr>
        <w:t>homelessness and</w:t>
      </w:r>
      <w:r>
        <w:rPr>
          <w:spacing w:val="-11"/>
          <w:w w:val="120"/>
        </w:rPr>
        <w:t> </w:t>
      </w:r>
      <w:r>
        <w:rPr>
          <w:w w:val="120"/>
        </w:rPr>
        <w:t>high</w:t>
      </w:r>
      <w:r>
        <w:rPr>
          <w:spacing w:val="-11"/>
          <w:w w:val="120"/>
        </w:rPr>
        <w:t> </w:t>
      </w:r>
      <w:r>
        <w:rPr>
          <w:w w:val="120"/>
        </w:rPr>
        <w:t>rates</w:t>
      </w:r>
      <w:r>
        <w:rPr>
          <w:spacing w:val="-12"/>
          <w:w w:val="120"/>
        </w:rPr>
        <w:t> </w:t>
      </w:r>
      <w:r>
        <w:rPr>
          <w:w w:val="120"/>
        </w:rPr>
        <w:t>of</w:t>
      </w:r>
      <w:r>
        <w:rPr>
          <w:spacing w:val="-12"/>
          <w:w w:val="120"/>
        </w:rPr>
        <w:t> </w:t>
      </w:r>
      <w:r>
        <w:rPr>
          <w:w w:val="120"/>
        </w:rPr>
        <w:t>residential</w:t>
      </w:r>
      <w:r>
        <w:rPr>
          <w:spacing w:val="-12"/>
          <w:w w:val="120"/>
        </w:rPr>
        <w:t> </w:t>
      </w:r>
      <w:r>
        <w:rPr>
          <w:w w:val="120"/>
        </w:rPr>
        <w:t>mobility (i.e., frequent relocation). Children experiencing</w:t>
      </w:r>
      <w:r>
        <w:rPr>
          <w:spacing w:val="-14"/>
          <w:w w:val="120"/>
        </w:rPr>
        <w:t> </w:t>
      </w:r>
      <w:r>
        <w:rPr>
          <w:w w:val="120"/>
        </w:rPr>
        <w:t>high</w:t>
      </w:r>
      <w:r>
        <w:rPr>
          <w:spacing w:val="-13"/>
          <w:w w:val="120"/>
        </w:rPr>
        <w:t> </w:t>
      </w:r>
      <w:r>
        <w:rPr>
          <w:w w:val="120"/>
        </w:rPr>
        <w:t>rates</w:t>
      </w:r>
      <w:r>
        <w:rPr>
          <w:spacing w:val="-14"/>
          <w:w w:val="120"/>
        </w:rPr>
        <w:t> </w:t>
      </w:r>
      <w:r>
        <w:rPr>
          <w:w w:val="120"/>
        </w:rPr>
        <w:t>of</w:t>
      </w:r>
      <w:r>
        <w:rPr>
          <w:spacing w:val="-13"/>
          <w:w w:val="120"/>
        </w:rPr>
        <w:t> </w:t>
      </w:r>
      <w:r>
        <w:rPr>
          <w:w w:val="120"/>
        </w:rPr>
        <w:t>residential mobility are at a greater risk for</w:t>
      </w:r>
      <w:r>
        <w:rPr>
          <w:spacing w:val="40"/>
          <w:w w:val="120"/>
        </w:rPr>
        <w:t> </w:t>
      </w:r>
      <w:r>
        <w:rPr>
          <w:w w:val="120"/>
        </w:rPr>
        <w:t>poor standardized test performance, delayed</w:t>
      </w:r>
      <w:r>
        <w:rPr>
          <w:spacing w:val="-11"/>
          <w:w w:val="120"/>
        </w:rPr>
        <w:t> </w:t>
      </w:r>
      <w:r>
        <w:rPr>
          <w:w w:val="120"/>
        </w:rPr>
        <w:t>literacy</w:t>
      </w:r>
      <w:r>
        <w:rPr>
          <w:spacing w:val="-11"/>
          <w:w w:val="120"/>
        </w:rPr>
        <w:t> </w:t>
      </w:r>
      <w:r>
        <w:rPr>
          <w:w w:val="120"/>
        </w:rPr>
        <w:t>skills,</w:t>
      </w:r>
      <w:r>
        <w:rPr>
          <w:spacing w:val="-11"/>
          <w:w w:val="120"/>
        </w:rPr>
        <w:t> </w:t>
      </w:r>
      <w:r>
        <w:rPr>
          <w:w w:val="120"/>
        </w:rPr>
        <w:t>and</w:t>
      </w:r>
      <w:r>
        <w:rPr>
          <w:spacing w:val="-11"/>
          <w:w w:val="120"/>
        </w:rPr>
        <w:t> </w:t>
      </w:r>
      <w:r>
        <w:rPr>
          <w:w w:val="120"/>
        </w:rPr>
        <w:t>increased adolescent violence.</w:t>
      </w:r>
      <w:r>
        <w:rPr>
          <w:w w:val="120"/>
          <w:position w:val="6"/>
          <w:sz w:val="10"/>
        </w:rPr>
        <w:t>10</w:t>
      </w:r>
      <w:r>
        <w:rPr>
          <w:spacing w:val="40"/>
          <w:w w:val="120"/>
          <w:position w:val="6"/>
          <w:sz w:val="10"/>
        </w:rPr>
        <w:t> </w:t>
      </w:r>
      <w:r>
        <w:rPr>
          <w:w w:val="120"/>
        </w:rPr>
        <w:t>Evictions </w:t>
      </w:r>
      <w:r>
        <w:rPr>
          <w:spacing w:val="-2"/>
          <w:w w:val="120"/>
        </w:rPr>
        <w:t>force</w:t>
      </w:r>
      <w:r>
        <w:rPr>
          <w:spacing w:val="-7"/>
          <w:w w:val="120"/>
        </w:rPr>
        <w:t> </w:t>
      </w:r>
      <w:r>
        <w:rPr>
          <w:spacing w:val="-2"/>
          <w:w w:val="120"/>
        </w:rPr>
        <w:t>families</w:t>
      </w:r>
      <w:r>
        <w:rPr>
          <w:spacing w:val="-7"/>
          <w:w w:val="120"/>
        </w:rPr>
        <w:t> </w:t>
      </w:r>
      <w:r>
        <w:rPr>
          <w:spacing w:val="-2"/>
          <w:w w:val="120"/>
        </w:rPr>
        <w:t>to</w:t>
      </w:r>
      <w:r>
        <w:rPr>
          <w:spacing w:val="-7"/>
          <w:w w:val="120"/>
        </w:rPr>
        <w:t> </w:t>
      </w:r>
      <w:r>
        <w:rPr>
          <w:spacing w:val="-2"/>
          <w:w w:val="120"/>
        </w:rPr>
        <w:t>relocate</w:t>
      </w:r>
      <w:r>
        <w:rPr>
          <w:spacing w:val="-7"/>
          <w:w w:val="120"/>
        </w:rPr>
        <w:t> </w:t>
      </w:r>
      <w:r>
        <w:rPr>
          <w:spacing w:val="-2"/>
          <w:w w:val="120"/>
        </w:rPr>
        <w:t>to</w:t>
      </w:r>
      <w:r>
        <w:rPr>
          <w:spacing w:val="-7"/>
          <w:w w:val="120"/>
        </w:rPr>
        <w:t> </w:t>
      </w:r>
      <w:r>
        <w:rPr>
          <w:spacing w:val="-2"/>
          <w:w w:val="120"/>
        </w:rPr>
        <w:t>resource- </w:t>
      </w:r>
      <w:r>
        <w:rPr>
          <w:w w:val="120"/>
        </w:rPr>
        <w:t>scarce neighborhoods and diminish the</w:t>
      </w:r>
      <w:r>
        <w:rPr>
          <w:spacing w:val="-14"/>
          <w:w w:val="120"/>
        </w:rPr>
        <w:t> </w:t>
      </w:r>
      <w:r>
        <w:rPr>
          <w:w w:val="120"/>
        </w:rPr>
        <w:t>community’s</w:t>
      </w:r>
      <w:r>
        <w:rPr>
          <w:spacing w:val="-13"/>
          <w:w w:val="120"/>
        </w:rPr>
        <w:t> </w:t>
      </w:r>
      <w:r>
        <w:rPr>
          <w:w w:val="120"/>
        </w:rPr>
        <w:t>social</w:t>
      </w:r>
      <w:r>
        <w:rPr>
          <w:spacing w:val="-14"/>
          <w:w w:val="120"/>
        </w:rPr>
        <w:t> </w:t>
      </w:r>
      <w:r>
        <w:rPr>
          <w:w w:val="120"/>
        </w:rPr>
        <w:t>fabric.</w:t>
      </w:r>
      <w:r>
        <w:rPr>
          <w:spacing w:val="-13"/>
          <w:w w:val="120"/>
        </w:rPr>
        <w:t> </w:t>
      </w:r>
      <w:r>
        <w:rPr>
          <w:w w:val="120"/>
        </w:rPr>
        <w:t>Rapid turnover of households thwarts efforts to establish and maintain “social capital, local cohesion and community investment.”</w:t>
      </w:r>
      <w:r>
        <w:rPr>
          <w:w w:val="120"/>
          <w:position w:val="6"/>
          <w:sz w:val="10"/>
        </w:rPr>
        <w:t>11</w:t>
      </w:r>
      <w:r>
        <w:rPr>
          <w:spacing w:val="80"/>
          <w:w w:val="120"/>
          <w:position w:val="6"/>
          <w:sz w:val="10"/>
        </w:rPr>
        <w:t> </w:t>
      </w:r>
      <w:r>
        <w:rPr>
          <w:w w:val="120"/>
        </w:rPr>
        <w:t>By these measures, not only do evictions</w:t>
      </w:r>
    </w:p>
    <w:p>
      <w:pPr>
        <w:pStyle w:val="BodyText"/>
        <w:spacing w:line="290" w:lineRule="auto"/>
        <w:ind w:left="110" w:right="3"/>
      </w:pPr>
      <w:r>
        <w:rPr>
          <w:w w:val="120"/>
        </w:rPr>
        <w:t>hurt the household being forced to relocate,</w:t>
      </w:r>
      <w:r>
        <w:rPr>
          <w:spacing w:val="-14"/>
          <w:w w:val="120"/>
        </w:rPr>
        <w:t> </w:t>
      </w:r>
      <w:r>
        <w:rPr>
          <w:w w:val="120"/>
        </w:rPr>
        <w:t>but</w:t>
      </w:r>
      <w:r>
        <w:rPr>
          <w:spacing w:val="-13"/>
          <w:w w:val="120"/>
        </w:rPr>
        <w:t> </w:t>
      </w:r>
      <w:r>
        <w:rPr>
          <w:w w:val="120"/>
        </w:rPr>
        <w:t>they</w:t>
      </w:r>
      <w:r>
        <w:rPr>
          <w:spacing w:val="-14"/>
          <w:w w:val="120"/>
        </w:rPr>
        <w:t> </w:t>
      </w:r>
      <w:r>
        <w:rPr>
          <w:w w:val="120"/>
        </w:rPr>
        <w:t>hurt</w:t>
      </w:r>
      <w:r>
        <w:rPr>
          <w:spacing w:val="-13"/>
          <w:w w:val="120"/>
        </w:rPr>
        <w:t> </w:t>
      </w:r>
      <w:r>
        <w:rPr>
          <w:i/>
          <w:w w:val="120"/>
        </w:rPr>
        <w:t>every</w:t>
      </w:r>
      <w:r>
        <w:rPr>
          <w:i/>
          <w:spacing w:val="-14"/>
          <w:w w:val="120"/>
        </w:rPr>
        <w:t> </w:t>
      </w:r>
      <w:r>
        <w:rPr>
          <w:w w:val="120"/>
        </w:rPr>
        <w:t>child</w:t>
      </w:r>
      <w:r>
        <w:rPr>
          <w:spacing w:val="-13"/>
          <w:w w:val="120"/>
        </w:rPr>
        <w:t> </w:t>
      </w:r>
      <w:r>
        <w:rPr>
          <w:w w:val="120"/>
        </w:rPr>
        <w:t>in the</w:t>
      </w:r>
      <w:r>
        <w:rPr>
          <w:spacing w:val="-7"/>
          <w:w w:val="120"/>
        </w:rPr>
        <w:t> </w:t>
      </w:r>
      <w:r>
        <w:rPr>
          <w:w w:val="120"/>
        </w:rPr>
        <w:t>community.</w:t>
      </w:r>
    </w:p>
    <w:p>
      <w:pPr>
        <w:pStyle w:val="BodyText"/>
        <w:rPr>
          <w:sz w:val="21"/>
        </w:rPr>
      </w:pPr>
    </w:p>
    <w:p>
      <w:pPr>
        <w:pStyle w:val="BodyText"/>
        <w:spacing w:line="290" w:lineRule="auto"/>
        <w:ind w:left="110" w:right="152"/>
      </w:pPr>
      <w:r>
        <w:rPr>
          <w:w w:val="120"/>
        </w:rPr>
        <w:t>The ill effects of evictions on children are not a short-lived phenomenon. School-age and adolescence children living in households facing eviction have “increased</w:t>
      </w:r>
      <w:r>
        <w:rPr>
          <w:spacing w:val="-14"/>
          <w:w w:val="120"/>
        </w:rPr>
        <w:t> </w:t>
      </w:r>
      <w:r>
        <w:rPr>
          <w:w w:val="120"/>
        </w:rPr>
        <w:t>behavioral</w:t>
      </w:r>
      <w:r>
        <w:rPr>
          <w:spacing w:val="-13"/>
          <w:w w:val="120"/>
        </w:rPr>
        <w:t> </w:t>
      </w:r>
      <w:r>
        <w:rPr>
          <w:w w:val="120"/>
        </w:rPr>
        <w:t>disturbances, poor emotional adjustment, increased teenage pregnancy rates, earlier</w:t>
      </w:r>
      <w:r>
        <w:rPr>
          <w:spacing w:val="-1"/>
          <w:w w:val="120"/>
        </w:rPr>
        <w:t> </w:t>
      </w:r>
      <w:r>
        <w:rPr>
          <w:w w:val="120"/>
        </w:rPr>
        <w:t>illicit drug</w:t>
      </w:r>
      <w:r>
        <w:rPr>
          <w:spacing w:val="-1"/>
          <w:w w:val="120"/>
        </w:rPr>
        <w:t> </w:t>
      </w:r>
      <w:r>
        <w:rPr>
          <w:w w:val="120"/>
        </w:rPr>
        <w:t>use, drug-related</w:t>
      </w:r>
    </w:p>
    <w:p>
      <w:pPr>
        <w:spacing w:line="240" w:lineRule="auto" w:before="10"/>
        <w:rPr>
          <w:sz w:val="18"/>
        </w:rPr>
      </w:pPr>
      <w:r>
        <w:rPr/>
        <w:br w:type="column"/>
      </w:r>
      <w:r>
        <w:rPr>
          <w:sz w:val="18"/>
        </w:rPr>
      </w:r>
    </w:p>
    <w:p>
      <w:pPr>
        <w:pStyle w:val="BodyText"/>
        <w:spacing w:line="290" w:lineRule="auto"/>
        <w:ind w:left="115" w:right="36"/>
      </w:pPr>
      <w:r>
        <w:rPr>
          <w:w w:val="120"/>
        </w:rPr>
        <w:t>problems</w:t>
      </w:r>
      <w:r>
        <w:rPr>
          <w:spacing w:val="-14"/>
          <w:w w:val="120"/>
        </w:rPr>
        <w:t> </w:t>
      </w:r>
      <w:r>
        <w:rPr>
          <w:w w:val="120"/>
        </w:rPr>
        <w:t>and</w:t>
      </w:r>
      <w:r>
        <w:rPr>
          <w:spacing w:val="-13"/>
          <w:w w:val="120"/>
        </w:rPr>
        <w:t> </w:t>
      </w:r>
      <w:r>
        <w:rPr>
          <w:w w:val="120"/>
        </w:rPr>
        <w:t>teenage</w:t>
      </w:r>
      <w:r>
        <w:rPr>
          <w:spacing w:val="-14"/>
          <w:w w:val="120"/>
        </w:rPr>
        <w:t> </w:t>
      </w:r>
      <w:r>
        <w:rPr>
          <w:w w:val="120"/>
        </w:rPr>
        <w:t>depression.”</w:t>
      </w:r>
      <w:r>
        <w:rPr>
          <w:w w:val="120"/>
          <w:position w:val="6"/>
          <w:sz w:val="10"/>
        </w:rPr>
        <w:t>12</w:t>
      </w:r>
      <w:r>
        <w:rPr>
          <w:spacing w:val="40"/>
          <w:w w:val="120"/>
          <w:position w:val="6"/>
          <w:sz w:val="10"/>
        </w:rPr>
        <w:t> </w:t>
      </w:r>
      <w:r>
        <w:rPr>
          <w:w w:val="120"/>
        </w:rPr>
        <w:t>Additionally, residential mobility impacts engagement with health services more broadly. Not only</w:t>
      </w:r>
    </w:p>
    <w:p>
      <w:pPr>
        <w:pStyle w:val="BodyText"/>
        <w:spacing w:line="290" w:lineRule="auto"/>
        <w:ind w:left="115" w:right="149"/>
      </w:pPr>
      <w:r>
        <w:rPr/>
        <mc:AlternateContent>
          <mc:Choice Requires="wps">
            <w:drawing>
              <wp:anchor distT="0" distB="0" distL="0" distR="0" allowOverlap="1" layoutInCell="1" locked="0" behindDoc="0" simplePos="0" relativeHeight="15732224">
                <wp:simplePos x="0" y="0"/>
                <wp:positionH relativeFrom="page">
                  <wp:posOffset>2774950</wp:posOffset>
                </wp:positionH>
                <wp:positionV relativeFrom="paragraph">
                  <wp:posOffset>719301</wp:posOffset>
                </wp:positionV>
                <wp:extent cx="1270" cy="2108835"/>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1270" cy="2108835"/>
                        </a:xfrm>
                        <a:custGeom>
                          <a:avLst/>
                          <a:gdLst/>
                          <a:ahLst/>
                          <a:cxnLst/>
                          <a:rect l="l" t="t" r="r" b="b"/>
                          <a:pathLst>
                            <a:path w="0" h="2108835">
                              <a:moveTo>
                                <a:pt x="0" y="2108695"/>
                              </a:moveTo>
                              <a:lnTo>
                                <a:pt x="0" y="0"/>
                              </a:lnTo>
                            </a:path>
                          </a:pathLst>
                        </a:custGeom>
                        <a:ln w="63500">
                          <a:solidFill>
                            <a:srgbClr val="3B9DD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224" from="218.5pt,222.676928pt" to="218.5pt,56.637928pt" stroked="true" strokeweight="5pt" strokecolor="#3b9dd7">
                <v:stroke dashstyle="solid"/>
                <w10:wrap type="none"/>
              </v:line>
            </w:pict>
          </mc:Fallback>
        </mc:AlternateContent>
      </w:r>
      <w:r>
        <w:rPr>
          <w:w w:val="120"/>
        </w:rPr>
        <w:t>are</w:t>
      </w:r>
      <w:r>
        <w:rPr>
          <w:spacing w:val="-14"/>
          <w:w w:val="120"/>
        </w:rPr>
        <w:t> </w:t>
      </w:r>
      <w:r>
        <w:rPr>
          <w:w w:val="120"/>
        </w:rPr>
        <w:t>children</w:t>
      </w:r>
      <w:r>
        <w:rPr>
          <w:spacing w:val="-13"/>
          <w:w w:val="120"/>
        </w:rPr>
        <w:t> </w:t>
      </w:r>
      <w:r>
        <w:rPr>
          <w:w w:val="120"/>
        </w:rPr>
        <w:t>and</w:t>
      </w:r>
      <w:r>
        <w:rPr>
          <w:spacing w:val="-14"/>
          <w:w w:val="120"/>
        </w:rPr>
        <w:t> </w:t>
      </w:r>
      <w:r>
        <w:rPr>
          <w:w w:val="120"/>
        </w:rPr>
        <w:t>households</w:t>
      </w:r>
      <w:r>
        <w:rPr>
          <w:spacing w:val="-13"/>
          <w:w w:val="120"/>
        </w:rPr>
        <w:t> </w:t>
      </w:r>
      <w:r>
        <w:rPr>
          <w:w w:val="120"/>
        </w:rPr>
        <w:t>facing eviction under the immediate threat</w:t>
      </w:r>
      <w:r>
        <w:rPr>
          <w:spacing w:val="-5"/>
          <w:w w:val="120"/>
        </w:rPr>
        <w:t> </w:t>
      </w:r>
      <w:r>
        <w:rPr>
          <w:w w:val="120"/>
        </w:rPr>
        <w:t>of</w:t>
      </w:r>
      <w:r>
        <w:rPr>
          <w:spacing w:val="-6"/>
          <w:w w:val="120"/>
        </w:rPr>
        <w:t> </w:t>
      </w:r>
      <w:r>
        <w:rPr>
          <w:w w:val="120"/>
        </w:rPr>
        <w:t>negative</w:t>
      </w:r>
      <w:r>
        <w:rPr>
          <w:spacing w:val="-6"/>
          <w:w w:val="120"/>
        </w:rPr>
        <w:t> </w:t>
      </w:r>
      <w:r>
        <w:rPr>
          <w:w w:val="120"/>
        </w:rPr>
        <w:t>outcomes</w:t>
      </w:r>
      <w:r>
        <w:rPr>
          <w:spacing w:val="-6"/>
          <w:w w:val="120"/>
        </w:rPr>
        <w:t> </w:t>
      </w:r>
      <w:r>
        <w:rPr>
          <w:w w:val="120"/>
        </w:rPr>
        <w:t>due</w:t>
      </w:r>
      <w:r>
        <w:rPr>
          <w:spacing w:val="-6"/>
          <w:w w:val="120"/>
        </w:rPr>
        <w:t> </w:t>
      </w:r>
      <w:r>
        <w:rPr>
          <w:w w:val="120"/>
        </w:rPr>
        <w:t>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Heading1"/>
        <w:spacing w:line="340" w:lineRule="auto"/>
        <w:ind w:left="620" w:right="343" w:hanging="1"/>
      </w:pPr>
      <w:r>
        <w:rPr>
          <w:w w:val="110"/>
        </w:rPr>
        <w:t>"The ill effects of </w:t>
      </w:r>
      <w:r>
        <w:rPr>
          <w:spacing w:val="-6"/>
          <w:w w:val="110"/>
        </w:rPr>
        <w:t>evictions</w:t>
      </w:r>
      <w:r>
        <w:rPr>
          <w:spacing w:val="-17"/>
          <w:w w:val="110"/>
        </w:rPr>
        <w:t> </w:t>
      </w:r>
      <w:r>
        <w:rPr>
          <w:spacing w:val="-6"/>
          <w:w w:val="110"/>
        </w:rPr>
        <w:t>on</w:t>
      </w:r>
      <w:r>
        <w:rPr>
          <w:spacing w:val="-16"/>
          <w:w w:val="110"/>
        </w:rPr>
        <w:t> </w:t>
      </w:r>
      <w:r>
        <w:rPr>
          <w:spacing w:val="-6"/>
          <w:w w:val="110"/>
        </w:rPr>
        <w:t>children </w:t>
      </w:r>
      <w:r>
        <w:rPr>
          <w:w w:val="110"/>
        </w:rPr>
        <w:t>are</w:t>
      </w:r>
      <w:r>
        <w:rPr>
          <w:spacing w:val="-17"/>
          <w:w w:val="110"/>
        </w:rPr>
        <w:t> </w:t>
      </w:r>
      <w:r>
        <w:rPr>
          <w:w w:val="110"/>
        </w:rPr>
        <w:t>not</w:t>
      </w:r>
      <w:r>
        <w:rPr>
          <w:spacing w:val="-17"/>
          <w:w w:val="110"/>
        </w:rPr>
        <w:t> </w:t>
      </w:r>
      <w:r>
        <w:rPr>
          <w:w w:val="110"/>
        </w:rPr>
        <w:t>a</w:t>
      </w:r>
      <w:r>
        <w:rPr>
          <w:spacing w:val="-17"/>
          <w:w w:val="110"/>
        </w:rPr>
        <w:t> </w:t>
      </w:r>
      <w:r>
        <w:rPr>
          <w:w w:val="110"/>
        </w:rPr>
        <w:t>short-lived </w:t>
      </w:r>
      <w:r>
        <w:rPr>
          <w:spacing w:val="-2"/>
          <w:w w:val="110"/>
        </w:rPr>
        <w:t>phenomenon.”</w:t>
      </w:r>
    </w:p>
    <w:p>
      <w:pPr>
        <w:pStyle w:val="BodyText"/>
        <w:rPr>
          <w:rFonts w:ascii="Arial"/>
          <w:b/>
          <w:sz w:val="30"/>
        </w:rPr>
      </w:pPr>
    </w:p>
    <w:p>
      <w:pPr>
        <w:pStyle w:val="BodyText"/>
        <w:rPr>
          <w:rFonts w:ascii="Arial"/>
          <w:b/>
          <w:sz w:val="30"/>
        </w:rPr>
      </w:pPr>
    </w:p>
    <w:p>
      <w:pPr>
        <w:pStyle w:val="BodyText"/>
        <w:rPr>
          <w:rFonts w:ascii="Arial"/>
          <w:b/>
          <w:sz w:val="30"/>
        </w:rPr>
      </w:pPr>
    </w:p>
    <w:p>
      <w:pPr>
        <w:pStyle w:val="BodyText"/>
        <w:spacing w:before="8"/>
        <w:rPr>
          <w:rFonts w:ascii="Arial"/>
          <w:b/>
          <w:sz w:val="34"/>
        </w:rPr>
      </w:pPr>
    </w:p>
    <w:p>
      <w:pPr>
        <w:pStyle w:val="BodyText"/>
        <w:spacing w:line="290" w:lineRule="auto"/>
        <w:ind w:left="110" w:right="116"/>
      </w:pPr>
      <w:r>
        <w:rPr>
          <w:w w:val="120"/>
        </w:rPr>
        <w:t>relocation,</w:t>
      </w:r>
      <w:r>
        <w:rPr>
          <w:spacing w:val="-14"/>
          <w:w w:val="120"/>
        </w:rPr>
        <w:t> </w:t>
      </w:r>
      <w:r>
        <w:rPr>
          <w:w w:val="120"/>
        </w:rPr>
        <w:t>but</w:t>
      </w:r>
      <w:r>
        <w:rPr>
          <w:spacing w:val="-13"/>
          <w:w w:val="120"/>
        </w:rPr>
        <w:t> </w:t>
      </w:r>
      <w:r>
        <w:rPr>
          <w:w w:val="120"/>
        </w:rPr>
        <w:t>the</w:t>
      </w:r>
      <w:r>
        <w:rPr>
          <w:spacing w:val="-14"/>
          <w:w w:val="120"/>
        </w:rPr>
        <w:t> </w:t>
      </w:r>
      <w:r>
        <w:rPr>
          <w:w w:val="120"/>
        </w:rPr>
        <w:t>cycle</w:t>
      </w:r>
      <w:r>
        <w:rPr>
          <w:spacing w:val="-13"/>
          <w:w w:val="120"/>
        </w:rPr>
        <w:t> </w:t>
      </w:r>
      <w:r>
        <w:rPr>
          <w:w w:val="120"/>
        </w:rPr>
        <w:t>of</w:t>
      </w:r>
      <w:r>
        <w:rPr>
          <w:spacing w:val="-14"/>
          <w:w w:val="120"/>
        </w:rPr>
        <w:t> </w:t>
      </w:r>
      <w:r>
        <w:rPr>
          <w:w w:val="120"/>
        </w:rPr>
        <w:t>frequent movement also hinders primary healthcare access to address the</w:t>
      </w:r>
    </w:p>
    <w:p>
      <w:pPr>
        <w:pStyle w:val="BodyText"/>
        <w:spacing w:line="290" w:lineRule="auto"/>
        <w:ind w:left="110" w:right="36"/>
      </w:pPr>
      <w:r>
        <w:rPr>
          <w:spacing w:val="-2"/>
          <w:w w:val="120"/>
        </w:rPr>
        <w:t>ill</w:t>
      </w:r>
      <w:r>
        <w:rPr>
          <w:spacing w:val="-12"/>
          <w:w w:val="120"/>
        </w:rPr>
        <w:t> </w:t>
      </w:r>
      <w:r>
        <w:rPr>
          <w:spacing w:val="-2"/>
          <w:w w:val="120"/>
        </w:rPr>
        <w:t>effects</w:t>
      </w:r>
      <w:r>
        <w:rPr>
          <w:spacing w:val="-11"/>
          <w:w w:val="120"/>
        </w:rPr>
        <w:t> </w:t>
      </w:r>
      <w:r>
        <w:rPr>
          <w:spacing w:val="-2"/>
          <w:w w:val="120"/>
        </w:rPr>
        <w:t>caused</w:t>
      </w:r>
      <w:r>
        <w:rPr>
          <w:spacing w:val="-12"/>
          <w:w w:val="120"/>
        </w:rPr>
        <w:t> </w:t>
      </w:r>
      <w:r>
        <w:rPr>
          <w:spacing w:val="-2"/>
          <w:w w:val="120"/>
        </w:rPr>
        <w:t>by</w:t>
      </w:r>
      <w:r>
        <w:rPr>
          <w:spacing w:val="-11"/>
          <w:w w:val="120"/>
        </w:rPr>
        <w:t> </w:t>
      </w:r>
      <w:r>
        <w:rPr>
          <w:spacing w:val="-2"/>
          <w:w w:val="120"/>
        </w:rPr>
        <w:t>evictions</w:t>
      </w:r>
      <w:r>
        <w:rPr>
          <w:spacing w:val="-12"/>
          <w:w w:val="120"/>
        </w:rPr>
        <w:t> </w:t>
      </w:r>
      <w:r>
        <w:rPr>
          <w:spacing w:val="-2"/>
          <w:w w:val="120"/>
        </w:rPr>
        <w:t>and </w:t>
      </w:r>
      <w:r>
        <w:rPr>
          <w:w w:val="120"/>
        </w:rPr>
        <w:t>unstable</w:t>
      </w:r>
      <w:r>
        <w:rPr>
          <w:spacing w:val="-7"/>
          <w:w w:val="120"/>
        </w:rPr>
        <w:t> </w:t>
      </w:r>
      <w:r>
        <w:rPr>
          <w:w w:val="120"/>
        </w:rPr>
        <w:t>housing.</w:t>
      </w:r>
    </w:p>
    <w:p>
      <w:pPr>
        <w:spacing w:line="240" w:lineRule="auto" w:before="10"/>
        <w:rPr>
          <w:sz w:val="21"/>
        </w:rPr>
      </w:pPr>
      <w:r>
        <w:rPr/>
        <w:br w:type="column"/>
      </w:r>
      <w:r>
        <w:rPr>
          <w:sz w:val="21"/>
        </w:rPr>
      </w:r>
    </w:p>
    <w:p>
      <w:pPr>
        <w:pStyle w:val="Heading2"/>
        <w:spacing w:before="1"/>
      </w:pPr>
      <w:r>
        <w:rPr>
          <w:color w:val="3B9DD7"/>
        </w:rPr>
        <w:t>THE</w:t>
      </w:r>
      <w:r>
        <w:rPr>
          <w:color w:val="3B9DD7"/>
          <w:spacing w:val="2"/>
        </w:rPr>
        <w:t> </w:t>
      </w:r>
      <w:r>
        <w:rPr>
          <w:color w:val="3B9DD7"/>
        </w:rPr>
        <w:t>BALANCE</w:t>
      </w:r>
      <w:r>
        <w:rPr>
          <w:color w:val="3B9DD7"/>
          <w:spacing w:val="2"/>
        </w:rPr>
        <w:t> </w:t>
      </w:r>
      <w:r>
        <w:rPr>
          <w:color w:val="3B9DD7"/>
        </w:rPr>
        <w:t>OF</w:t>
      </w:r>
      <w:r>
        <w:rPr>
          <w:color w:val="3B9DD7"/>
          <w:spacing w:val="2"/>
        </w:rPr>
        <w:t> </w:t>
      </w:r>
      <w:r>
        <w:rPr>
          <w:color w:val="3B9DD7"/>
          <w:spacing w:val="-2"/>
        </w:rPr>
        <w:t>HARMS</w:t>
      </w:r>
    </w:p>
    <w:p>
      <w:pPr>
        <w:pStyle w:val="BodyText"/>
        <w:spacing w:before="6"/>
        <w:rPr>
          <w:rFonts w:ascii="Arial"/>
          <w:b/>
          <w:sz w:val="25"/>
        </w:rPr>
      </w:pPr>
    </w:p>
    <w:p>
      <w:pPr>
        <w:pStyle w:val="BodyText"/>
        <w:spacing w:line="290" w:lineRule="auto"/>
        <w:ind w:left="110" w:right="480"/>
        <w:rPr>
          <w:sz w:val="10"/>
        </w:rPr>
      </w:pPr>
      <w:r>
        <w:rPr>
          <w:w w:val="120"/>
        </w:rPr>
        <w:t>The Indiana Court of Appeals holds that when the balance of harms tips in favor of the non-moving party, injunctive relief will be denied.</w:t>
      </w:r>
      <w:r>
        <w:rPr>
          <w:w w:val="120"/>
          <w:position w:val="6"/>
          <w:sz w:val="10"/>
        </w:rPr>
        <w:t>13</w:t>
      </w:r>
      <w:r>
        <w:rPr>
          <w:spacing w:val="40"/>
          <w:w w:val="120"/>
          <w:position w:val="6"/>
          <w:sz w:val="10"/>
        </w:rPr>
        <w:t> </w:t>
      </w:r>
      <w:r>
        <w:rPr>
          <w:w w:val="120"/>
        </w:rPr>
        <w:t>Indiana law gauges the balance of harms by “whether the threatened injury</w:t>
      </w:r>
      <w:r>
        <w:rPr>
          <w:spacing w:val="-14"/>
          <w:w w:val="120"/>
        </w:rPr>
        <w:t> </w:t>
      </w:r>
      <w:r>
        <w:rPr>
          <w:w w:val="120"/>
        </w:rPr>
        <w:t>to</w:t>
      </w:r>
      <w:r>
        <w:rPr>
          <w:spacing w:val="-13"/>
          <w:w w:val="120"/>
        </w:rPr>
        <w:t> </w:t>
      </w:r>
      <w:r>
        <w:rPr>
          <w:w w:val="120"/>
        </w:rPr>
        <w:t>the</w:t>
      </w:r>
      <w:r>
        <w:rPr>
          <w:spacing w:val="-14"/>
          <w:w w:val="120"/>
        </w:rPr>
        <w:t> </w:t>
      </w:r>
      <w:r>
        <w:rPr>
          <w:w w:val="120"/>
        </w:rPr>
        <w:t>moving</w:t>
      </w:r>
      <w:r>
        <w:rPr>
          <w:spacing w:val="-13"/>
          <w:w w:val="120"/>
        </w:rPr>
        <w:t> </w:t>
      </w:r>
      <w:r>
        <w:rPr>
          <w:w w:val="120"/>
        </w:rPr>
        <w:t>party</w:t>
      </w:r>
      <w:r>
        <w:rPr>
          <w:spacing w:val="-14"/>
          <w:w w:val="120"/>
        </w:rPr>
        <w:t> </w:t>
      </w:r>
      <w:r>
        <w:rPr>
          <w:w w:val="120"/>
        </w:rPr>
        <w:t>outweighs the</w:t>
      </w:r>
      <w:r>
        <w:rPr>
          <w:spacing w:val="-14"/>
          <w:w w:val="120"/>
        </w:rPr>
        <w:t> </w:t>
      </w:r>
      <w:r>
        <w:rPr>
          <w:w w:val="120"/>
        </w:rPr>
        <w:t>potential</w:t>
      </w:r>
      <w:r>
        <w:rPr>
          <w:spacing w:val="-13"/>
          <w:w w:val="120"/>
        </w:rPr>
        <w:t> </w:t>
      </w:r>
      <w:r>
        <w:rPr>
          <w:w w:val="120"/>
        </w:rPr>
        <w:t>harm</w:t>
      </w:r>
      <w:r>
        <w:rPr>
          <w:spacing w:val="-14"/>
          <w:w w:val="120"/>
        </w:rPr>
        <w:t> </w:t>
      </w:r>
      <w:r>
        <w:rPr>
          <w:w w:val="120"/>
        </w:rPr>
        <w:t>to</w:t>
      </w:r>
      <w:r>
        <w:rPr>
          <w:spacing w:val="-13"/>
          <w:w w:val="120"/>
        </w:rPr>
        <w:t> </w:t>
      </w:r>
      <w:r>
        <w:rPr>
          <w:w w:val="120"/>
        </w:rPr>
        <w:t>the</w:t>
      </w:r>
      <w:r>
        <w:rPr>
          <w:spacing w:val="-14"/>
          <w:w w:val="120"/>
        </w:rPr>
        <w:t> </w:t>
      </w:r>
      <w:r>
        <w:rPr>
          <w:w w:val="120"/>
        </w:rPr>
        <w:t>non-moving party.”</w:t>
      </w:r>
      <w:r>
        <w:rPr>
          <w:w w:val="120"/>
          <w:position w:val="6"/>
          <w:sz w:val="10"/>
        </w:rPr>
        <w:t>14</w:t>
      </w:r>
      <w:r>
        <w:rPr>
          <w:spacing w:val="80"/>
          <w:w w:val="120"/>
          <w:position w:val="6"/>
          <w:sz w:val="10"/>
        </w:rPr>
        <w:t> </w:t>
      </w:r>
      <w:r>
        <w:rPr>
          <w:w w:val="120"/>
        </w:rPr>
        <w:t>The weight of these harms is a fact sensitive consideration evaluated on a sliding scale.</w:t>
      </w:r>
      <w:r>
        <w:rPr>
          <w:w w:val="120"/>
          <w:position w:val="6"/>
          <w:sz w:val="10"/>
        </w:rPr>
        <w:t>15</w:t>
      </w:r>
    </w:p>
    <w:p>
      <w:pPr>
        <w:pStyle w:val="BodyText"/>
        <w:spacing w:before="3"/>
        <w:rPr>
          <w:sz w:val="21"/>
        </w:rPr>
      </w:pPr>
    </w:p>
    <w:p>
      <w:pPr>
        <w:pStyle w:val="BodyText"/>
        <w:spacing w:line="290" w:lineRule="auto" w:before="1"/>
        <w:ind w:left="110" w:right="440"/>
      </w:pPr>
      <w:r>
        <w:rPr>
          <w:w w:val="120"/>
        </w:rPr>
        <w:t>When balancing the equities and potential harms of eviction, the families removed from their homes suffer the most. There are few situations where a monetary award for the landlord due to nonpayment of</w:t>
      </w:r>
      <w:r>
        <w:rPr>
          <w:spacing w:val="-14"/>
          <w:w w:val="120"/>
        </w:rPr>
        <w:t> </w:t>
      </w:r>
      <w:r>
        <w:rPr>
          <w:w w:val="120"/>
        </w:rPr>
        <w:t>rent</w:t>
      </w:r>
      <w:r>
        <w:rPr>
          <w:spacing w:val="-13"/>
          <w:w w:val="120"/>
        </w:rPr>
        <w:t> </w:t>
      </w:r>
      <w:r>
        <w:rPr>
          <w:w w:val="120"/>
        </w:rPr>
        <w:t>outweighs</w:t>
      </w:r>
      <w:r>
        <w:rPr>
          <w:spacing w:val="-14"/>
          <w:w w:val="120"/>
        </w:rPr>
        <w:t> </w:t>
      </w:r>
      <w:r>
        <w:rPr>
          <w:w w:val="120"/>
        </w:rPr>
        <w:t>the</w:t>
      </w:r>
      <w:r>
        <w:rPr>
          <w:spacing w:val="-13"/>
          <w:w w:val="120"/>
        </w:rPr>
        <w:t> </w:t>
      </w:r>
      <w:r>
        <w:rPr>
          <w:w w:val="120"/>
        </w:rPr>
        <w:t>sizeable</w:t>
      </w:r>
      <w:r>
        <w:rPr>
          <w:spacing w:val="-14"/>
          <w:w w:val="120"/>
        </w:rPr>
        <w:t> </w:t>
      </w:r>
      <w:r>
        <w:rPr>
          <w:w w:val="120"/>
        </w:rPr>
        <w:t>health impact. The Fair Housing Center of Central Indiana recognized in their 2022 fair housing report, “At What </w:t>
      </w:r>
      <w:r>
        <w:rPr>
          <w:w w:val="115"/>
        </w:rPr>
        <w:t>Cost? Rents, Burdens, Evictions, and </w:t>
      </w:r>
      <w:r>
        <w:rPr>
          <w:w w:val="120"/>
        </w:rPr>
        <w:t>Profits” that the monetary losses endured by landlords, consisting mostly of large international corporations, will never offset the</w:t>
      </w:r>
    </w:p>
    <w:p>
      <w:pPr>
        <w:spacing w:after="0" w:line="290" w:lineRule="auto"/>
        <w:sectPr>
          <w:type w:val="continuous"/>
          <w:pgSz w:w="12060" w:h="15660"/>
          <w:pgMar w:header="0" w:footer="971" w:top="1060" w:bottom="1160" w:left="740" w:right="660"/>
          <w:cols w:num="3" w:equalWidth="0">
            <w:col w:w="3320" w:space="128"/>
            <w:col w:w="3261" w:space="187"/>
            <w:col w:w="3764"/>
          </w:cols>
        </w:sectPr>
      </w:pPr>
    </w:p>
    <w:p>
      <w:pPr>
        <w:pStyle w:val="BodyText"/>
        <w:spacing w:line="290" w:lineRule="auto" w:before="84"/>
        <w:ind w:left="410"/>
      </w:pPr>
      <w:r>
        <w:rPr>
          <w:w w:val="120"/>
        </w:rPr>
        <w:t>continued negative impact on the </w:t>
      </w:r>
      <w:r>
        <w:rPr>
          <w:spacing w:val="-2"/>
          <w:w w:val="120"/>
        </w:rPr>
        <w:t>health</w:t>
      </w:r>
      <w:r>
        <w:rPr>
          <w:spacing w:val="-12"/>
          <w:w w:val="120"/>
        </w:rPr>
        <w:t> </w:t>
      </w:r>
      <w:r>
        <w:rPr>
          <w:spacing w:val="-2"/>
          <w:w w:val="120"/>
        </w:rPr>
        <w:t>of</w:t>
      </w:r>
      <w:r>
        <w:rPr>
          <w:spacing w:val="-11"/>
          <w:w w:val="120"/>
        </w:rPr>
        <w:t> </w:t>
      </w:r>
      <w:r>
        <w:rPr>
          <w:spacing w:val="-2"/>
          <w:w w:val="120"/>
        </w:rPr>
        <w:t>residents.</w:t>
      </w:r>
      <w:r>
        <w:rPr>
          <w:spacing w:val="-2"/>
          <w:w w:val="120"/>
          <w:position w:val="6"/>
          <w:sz w:val="10"/>
        </w:rPr>
        <w:t>16</w:t>
      </w:r>
      <w:r>
        <w:rPr>
          <w:spacing w:val="40"/>
          <w:w w:val="120"/>
          <w:position w:val="6"/>
          <w:sz w:val="10"/>
        </w:rPr>
        <w:t> </w:t>
      </w:r>
      <w:r>
        <w:rPr>
          <w:spacing w:val="-2"/>
          <w:w w:val="120"/>
        </w:rPr>
        <w:t>Additionally,</w:t>
      </w:r>
      <w:r>
        <w:rPr>
          <w:spacing w:val="-12"/>
          <w:w w:val="120"/>
        </w:rPr>
        <w:t> </w:t>
      </w:r>
      <w:r>
        <w:rPr>
          <w:spacing w:val="-2"/>
          <w:w w:val="120"/>
        </w:rPr>
        <w:t>a </w:t>
      </w:r>
      <w:r>
        <w:rPr>
          <w:w w:val="120"/>
        </w:rPr>
        <w:t>limitation on access to the extreme remedy of summary displacement of tenants from their homes would not foreclose the opportunity for landlords to collect monetary damages. Those suffering from a loss of income due to nonpayment of rent will still be able to initiate proceedings to collect the unpaid rent as they would in any typical claim for breach of contract. And they could pursue preliminary injunction as a remedy in the minority</w:t>
      </w:r>
      <w:r>
        <w:rPr>
          <w:spacing w:val="-1"/>
          <w:w w:val="120"/>
        </w:rPr>
        <w:t> </w:t>
      </w:r>
      <w:r>
        <w:rPr>
          <w:w w:val="120"/>
        </w:rPr>
        <w:t>of</w:t>
      </w:r>
      <w:r>
        <w:rPr>
          <w:spacing w:val="-3"/>
          <w:w w:val="120"/>
        </w:rPr>
        <w:t> </w:t>
      </w:r>
      <w:r>
        <w:rPr>
          <w:w w:val="120"/>
        </w:rPr>
        <w:t>cases</w:t>
      </w:r>
      <w:r>
        <w:rPr>
          <w:spacing w:val="-3"/>
          <w:w w:val="120"/>
        </w:rPr>
        <w:t> </w:t>
      </w:r>
      <w:r>
        <w:rPr>
          <w:w w:val="120"/>
        </w:rPr>
        <w:t>where</w:t>
      </w:r>
      <w:r>
        <w:rPr>
          <w:spacing w:val="-3"/>
          <w:w w:val="120"/>
        </w:rPr>
        <w:t> </w:t>
      </w:r>
      <w:r>
        <w:rPr>
          <w:w w:val="120"/>
        </w:rPr>
        <w:t>they</w:t>
      </w:r>
      <w:r>
        <w:rPr>
          <w:spacing w:val="-1"/>
          <w:w w:val="120"/>
        </w:rPr>
        <w:t> </w:t>
      </w:r>
      <w:r>
        <w:rPr>
          <w:w w:val="120"/>
        </w:rPr>
        <w:t>could </w:t>
      </w:r>
      <w:r>
        <w:rPr>
          <w:w w:val="115"/>
        </w:rPr>
        <w:t>meet</w:t>
      </w:r>
      <w:r>
        <w:rPr>
          <w:spacing w:val="12"/>
          <w:w w:val="115"/>
        </w:rPr>
        <w:t> </w:t>
      </w:r>
      <w:r>
        <w:rPr>
          <w:w w:val="115"/>
        </w:rPr>
        <w:t>the</w:t>
      </w:r>
      <w:r>
        <w:rPr>
          <w:spacing w:val="10"/>
          <w:w w:val="115"/>
        </w:rPr>
        <w:t> </w:t>
      </w:r>
      <w:r>
        <w:rPr>
          <w:w w:val="115"/>
        </w:rPr>
        <w:t>well-established</w:t>
      </w:r>
      <w:r>
        <w:rPr>
          <w:spacing w:val="12"/>
          <w:w w:val="115"/>
        </w:rPr>
        <w:t> </w:t>
      </w:r>
      <w:r>
        <w:rPr>
          <w:spacing w:val="-2"/>
          <w:w w:val="115"/>
        </w:rPr>
        <w:t>standard.</w:t>
      </w:r>
    </w:p>
    <w:p>
      <w:pPr>
        <w:pStyle w:val="BodyText"/>
        <w:spacing w:before="1"/>
        <w:rPr>
          <w:sz w:val="21"/>
        </w:rPr>
      </w:pPr>
    </w:p>
    <w:p>
      <w:pPr>
        <w:pStyle w:val="BodyText"/>
        <w:spacing w:line="290" w:lineRule="auto"/>
        <w:ind w:left="410" w:right="23"/>
      </w:pPr>
      <w:r>
        <w:rPr>
          <w:w w:val="120"/>
        </w:rPr>
        <w:t>The</w:t>
      </w:r>
      <w:r>
        <w:rPr>
          <w:spacing w:val="-13"/>
          <w:w w:val="120"/>
        </w:rPr>
        <w:t> </w:t>
      </w:r>
      <w:r>
        <w:rPr>
          <w:w w:val="120"/>
        </w:rPr>
        <w:t>balancing</w:t>
      </w:r>
      <w:r>
        <w:rPr>
          <w:spacing w:val="-13"/>
          <w:w w:val="120"/>
        </w:rPr>
        <w:t> </w:t>
      </w:r>
      <w:r>
        <w:rPr>
          <w:w w:val="120"/>
        </w:rPr>
        <w:t>of</w:t>
      </w:r>
      <w:r>
        <w:rPr>
          <w:spacing w:val="-13"/>
          <w:w w:val="120"/>
        </w:rPr>
        <w:t> </w:t>
      </w:r>
      <w:r>
        <w:rPr>
          <w:w w:val="120"/>
        </w:rPr>
        <w:t>equities</w:t>
      </w:r>
      <w:r>
        <w:rPr>
          <w:spacing w:val="-13"/>
          <w:w w:val="120"/>
        </w:rPr>
        <w:t> </w:t>
      </w:r>
      <w:r>
        <w:rPr>
          <w:w w:val="120"/>
        </w:rPr>
        <w:t>and</w:t>
      </w:r>
      <w:r>
        <w:rPr>
          <w:spacing w:val="-12"/>
          <w:w w:val="120"/>
        </w:rPr>
        <w:t> </w:t>
      </w:r>
      <w:r>
        <w:rPr>
          <w:w w:val="120"/>
        </w:rPr>
        <w:t>harm are interconnected with adequate available</w:t>
      </w:r>
      <w:r>
        <w:rPr>
          <w:spacing w:val="-14"/>
          <w:w w:val="120"/>
        </w:rPr>
        <w:t> </w:t>
      </w:r>
      <w:r>
        <w:rPr>
          <w:w w:val="120"/>
        </w:rPr>
        <w:t>remedies.</w:t>
      </w:r>
      <w:r>
        <w:rPr>
          <w:spacing w:val="-13"/>
          <w:w w:val="120"/>
        </w:rPr>
        <w:t> </w:t>
      </w:r>
      <w:r>
        <w:rPr>
          <w:w w:val="120"/>
        </w:rPr>
        <w:t>Landlords</w:t>
      </w:r>
      <w:r>
        <w:rPr>
          <w:spacing w:val="-14"/>
          <w:w w:val="120"/>
        </w:rPr>
        <w:t> </w:t>
      </w:r>
      <w:r>
        <w:rPr>
          <w:w w:val="120"/>
        </w:rPr>
        <w:t>have an adequate remedy available in</w:t>
      </w:r>
    </w:p>
    <w:p>
      <w:pPr>
        <w:spacing w:line="240" w:lineRule="auto" w:before="0"/>
        <w:rPr>
          <w:sz w:val="30"/>
        </w:rPr>
      </w:pPr>
      <w:r>
        <w:rPr/>
        <w:br w:type="column"/>
      </w:r>
      <w:r>
        <w:rPr>
          <w:sz w:val="30"/>
        </w:rPr>
      </w:r>
    </w:p>
    <w:p>
      <w:pPr>
        <w:pStyle w:val="BodyText"/>
        <w:spacing w:before="4"/>
        <w:rPr>
          <w:sz w:val="33"/>
        </w:rPr>
      </w:pPr>
    </w:p>
    <w:p>
      <w:pPr>
        <w:pStyle w:val="Heading1"/>
        <w:spacing w:line="340" w:lineRule="auto"/>
        <w:ind w:left="703" w:right="131" w:hanging="6"/>
      </w:pPr>
      <w:r>
        <w:rPr>
          <w:w w:val="110"/>
        </w:rPr>
        <w:t>"An adequate, fair </w:t>
      </w:r>
      <w:r>
        <w:rPr>
          <w:spacing w:val="-6"/>
          <w:w w:val="110"/>
        </w:rPr>
        <w:t>resolution...would</w:t>
      </w:r>
      <w:r>
        <w:rPr>
          <w:spacing w:val="-17"/>
          <w:w w:val="110"/>
        </w:rPr>
        <w:t> </w:t>
      </w:r>
      <w:r>
        <w:rPr>
          <w:spacing w:val="-6"/>
          <w:w w:val="110"/>
        </w:rPr>
        <w:t>be</w:t>
      </w:r>
      <w:r>
        <w:rPr>
          <w:spacing w:val="-16"/>
          <w:w w:val="110"/>
        </w:rPr>
        <w:t> </w:t>
      </w:r>
      <w:r>
        <w:rPr>
          <w:spacing w:val="-6"/>
          <w:w w:val="110"/>
        </w:rPr>
        <w:t>to </w:t>
      </w:r>
      <w:r>
        <w:rPr>
          <w:w w:val="110"/>
        </w:rPr>
        <w:t>treat</w:t>
      </w:r>
      <w:r>
        <w:rPr>
          <w:spacing w:val="-17"/>
          <w:w w:val="110"/>
        </w:rPr>
        <w:t> </w:t>
      </w:r>
      <w:r>
        <w:rPr>
          <w:w w:val="110"/>
        </w:rPr>
        <w:t>evictions</w:t>
      </w:r>
      <w:r>
        <w:rPr>
          <w:spacing w:val="-17"/>
          <w:w w:val="110"/>
        </w:rPr>
        <w:t> </w:t>
      </w:r>
      <w:r>
        <w:rPr>
          <w:w w:val="110"/>
        </w:rPr>
        <w:t>like</w:t>
      </w:r>
      <w:r>
        <w:rPr>
          <w:spacing w:val="-17"/>
          <w:w w:val="110"/>
        </w:rPr>
        <w:t> </w:t>
      </w:r>
      <w:r>
        <w:rPr>
          <w:w w:val="110"/>
        </w:rPr>
        <w:t>any other</w:t>
      </w:r>
      <w:r>
        <w:rPr>
          <w:spacing w:val="-17"/>
          <w:w w:val="110"/>
        </w:rPr>
        <w:t> </w:t>
      </w:r>
      <w:r>
        <w:rPr>
          <w:w w:val="110"/>
        </w:rPr>
        <w:t>type</w:t>
      </w:r>
      <w:r>
        <w:rPr>
          <w:spacing w:val="-17"/>
          <w:w w:val="110"/>
        </w:rPr>
        <w:t> </w:t>
      </w:r>
      <w:r>
        <w:rPr>
          <w:w w:val="110"/>
        </w:rPr>
        <w:t>of</w:t>
      </w:r>
      <w:r>
        <w:rPr>
          <w:spacing w:val="-17"/>
          <w:w w:val="110"/>
        </w:rPr>
        <w:t> </w:t>
      </w:r>
      <w:r>
        <w:rPr>
          <w:w w:val="110"/>
        </w:rPr>
        <w:t>equitable </w:t>
      </w:r>
      <w:r>
        <w:rPr>
          <w:spacing w:val="-4"/>
          <w:w w:val="110"/>
        </w:rPr>
        <w:t>relief,</w:t>
      </w:r>
      <w:r>
        <w:rPr>
          <w:spacing w:val="-16"/>
          <w:w w:val="110"/>
        </w:rPr>
        <w:t> </w:t>
      </w:r>
      <w:r>
        <w:rPr>
          <w:spacing w:val="-4"/>
          <w:w w:val="110"/>
        </w:rPr>
        <w:t>an</w:t>
      </w:r>
      <w:r>
        <w:rPr>
          <w:spacing w:val="-16"/>
          <w:w w:val="110"/>
        </w:rPr>
        <w:t> </w:t>
      </w:r>
      <w:r>
        <w:rPr>
          <w:spacing w:val="-4"/>
          <w:w w:val="110"/>
        </w:rPr>
        <w:t>extreme</w:t>
      </w:r>
      <w:r>
        <w:rPr>
          <w:spacing w:val="-16"/>
          <w:w w:val="110"/>
        </w:rPr>
        <w:t> </w:t>
      </w:r>
      <w:r>
        <w:rPr>
          <w:spacing w:val="-4"/>
          <w:w w:val="110"/>
        </w:rPr>
        <w:t>one."</w:t>
      </w:r>
    </w:p>
    <w:p>
      <w:pPr>
        <w:pStyle w:val="BodyText"/>
        <w:rPr>
          <w:rFonts w:ascii="Arial"/>
          <w:b/>
          <w:sz w:val="30"/>
        </w:rPr>
      </w:pPr>
    </w:p>
    <w:p>
      <w:pPr>
        <w:pStyle w:val="BodyText"/>
        <w:rPr>
          <w:rFonts w:ascii="Arial"/>
          <w:b/>
          <w:sz w:val="41"/>
        </w:rPr>
      </w:pPr>
    </w:p>
    <w:p>
      <w:pPr>
        <w:pStyle w:val="BodyText"/>
        <w:spacing w:line="290" w:lineRule="auto"/>
        <w:ind w:left="336" w:right="39"/>
      </w:pPr>
      <w:r>
        <w:rPr/>
        <mc:AlternateContent>
          <mc:Choice Requires="wps">
            <w:drawing>
              <wp:anchor distT="0" distB="0" distL="0" distR="0" allowOverlap="1" layoutInCell="1" locked="0" behindDoc="0" simplePos="0" relativeHeight="15733248">
                <wp:simplePos x="0" y="0"/>
                <wp:positionH relativeFrom="page">
                  <wp:posOffset>2940050</wp:posOffset>
                </wp:positionH>
                <wp:positionV relativeFrom="paragraph">
                  <wp:posOffset>-2049502</wp:posOffset>
                </wp:positionV>
                <wp:extent cx="1270" cy="1842135"/>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1270" cy="1842135"/>
                        </a:xfrm>
                        <a:custGeom>
                          <a:avLst/>
                          <a:gdLst/>
                          <a:ahLst/>
                          <a:cxnLst/>
                          <a:rect l="l" t="t" r="r" b="b"/>
                          <a:pathLst>
                            <a:path w="0" h="1842135">
                              <a:moveTo>
                                <a:pt x="0" y="1841957"/>
                              </a:moveTo>
                              <a:lnTo>
                                <a:pt x="0" y="0"/>
                              </a:lnTo>
                            </a:path>
                          </a:pathLst>
                        </a:custGeom>
                        <a:ln w="63500">
                          <a:solidFill>
                            <a:srgbClr val="3B9DD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248" from="231.5pt,-16.342143pt" to="231.5pt,-161.378143pt" stroked="true" strokeweight="5pt" strokecolor="#3b9dd7">
                <v:stroke dashstyle="solid"/>
                <w10:wrap type="none"/>
              </v:line>
            </w:pict>
          </mc:Fallback>
        </mc:AlternateContent>
      </w:r>
      <w:r>
        <w:rPr>
          <w:w w:val="125"/>
        </w:rPr>
        <w:t>the form of monetary damages. </w:t>
      </w:r>
      <w:r>
        <w:rPr>
          <w:w w:val="120"/>
        </w:rPr>
        <w:t>To</w:t>
      </w:r>
      <w:r>
        <w:rPr>
          <w:spacing w:val="-12"/>
          <w:w w:val="120"/>
        </w:rPr>
        <w:t> </w:t>
      </w:r>
      <w:r>
        <w:rPr>
          <w:w w:val="120"/>
        </w:rPr>
        <w:t>be</w:t>
      </w:r>
      <w:r>
        <w:rPr>
          <w:spacing w:val="-12"/>
          <w:w w:val="120"/>
        </w:rPr>
        <w:t> </w:t>
      </w:r>
      <w:r>
        <w:rPr>
          <w:w w:val="120"/>
        </w:rPr>
        <w:t>sure,</w:t>
      </w:r>
      <w:r>
        <w:rPr>
          <w:spacing w:val="-11"/>
          <w:w w:val="120"/>
        </w:rPr>
        <w:t> </w:t>
      </w:r>
      <w:r>
        <w:rPr>
          <w:w w:val="120"/>
        </w:rPr>
        <w:t>landlords</w:t>
      </w:r>
      <w:r>
        <w:rPr>
          <w:spacing w:val="-12"/>
          <w:w w:val="120"/>
        </w:rPr>
        <w:t> </w:t>
      </w:r>
      <w:r>
        <w:rPr>
          <w:w w:val="120"/>
        </w:rPr>
        <w:t>have</w:t>
      </w:r>
      <w:r>
        <w:rPr>
          <w:spacing w:val="-12"/>
          <w:w w:val="120"/>
        </w:rPr>
        <w:t> </w:t>
      </w:r>
      <w:r>
        <w:rPr>
          <w:w w:val="120"/>
        </w:rPr>
        <w:t>a</w:t>
      </w:r>
      <w:r>
        <w:rPr>
          <w:spacing w:val="-11"/>
          <w:w w:val="120"/>
        </w:rPr>
        <w:t> </w:t>
      </w:r>
      <w:r>
        <w:rPr>
          <w:w w:val="120"/>
        </w:rPr>
        <w:t>legal </w:t>
      </w:r>
      <w:r>
        <w:rPr>
          <w:w w:val="125"/>
        </w:rPr>
        <w:t>right</w:t>
      </w:r>
      <w:r>
        <w:rPr>
          <w:spacing w:val="-10"/>
          <w:w w:val="125"/>
        </w:rPr>
        <w:t> </w:t>
      </w:r>
      <w:r>
        <w:rPr>
          <w:w w:val="125"/>
        </w:rPr>
        <w:t>to</w:t>
      </w:r>
      <w:r>
        <w:rPr>
          <w:spacing w:val="-11"/>
          <w:w w:val="125"/>
        </w:rPr>
        <w:t> </w:t>
      </w:r>
      <w:r>
        <w:rPr>
          <w:w w:val="125"/>
        </w:rPr>
        <w:t>the</w:t>
      </w:r>
      <w:r>
        <w:rPr>
          <w:spacing w:val="-11"/>
          <w:w w:val="125"/>
        </w:rPr>
        <w:t> </w:t>
      </w:r>
      <w:r>
        <w:rPr>
          <w:w w:val="125"/>
        </w:rPr>
        <w:t>performance</w:t>
      </w:r>
      <w:r>
        <w:rPr>
          <w:spacing w:val="-11"/>
          <w:w w:val="125"/>
        </w:rPr>
        <w:t> </w:t>
      </w:r>
      <w:r>
        <w:rPr>
          <w:w w:val="125"/>
        </w:rPr>
        <w:t>of</w:t>
      </w:r>
      <w:r>
        <w:rPr>
          <w:spacing w:val="-11"/>
          <w:w w:val="125"/>
        </w:rPr>
        <w:t> </w:t>
      </w:r>
      <w:r>
        <w:rPr>
          <w:w w:val="125"/>
        </w:rPr>
        <w:t>their contracts.</w:t>
      </w:r>
      <w:r>
        <w:rPr>
          <w:spacing w:val="-15"/>
          <w:w w:val="125"/>
        </w:rPr>
        <w:t> </w:t>
      </w:r>
      <w:r>
        <w:rPr>
          <w:w w:val="125"/>
        </w:rPr>
        <w:t>But,</w:t>
      </w:r>
      <w:r>
        <w:rPr>
          <w:spacing w:val="-14"/>
          <w:w w:val="125"/>
        </w:rPr>
        <w:t> </w:t>
      </w:r>
      <w:r>
        <w:rPr>
          <w:w w:val="125"/>
        </w:rPr>
        <w:t>evictions,</w:t>
      </w:r>
      <w:r>
        <w:rPr>
          <w:spacing w:val="-14"/>
          <w:w w:val="125"/>
        </w:rPr>
        <w:t> </w:t>
      </w:r>
      <w:r>
        <w:rPr>
          <w:w w:val="125"/>
        </w:rPr>
        <w:t>like specific performance or other forms of equitable relief, are an </w:t>
      </w:r>
      <w:r>
        <w:rPr>
          <w:w w:val="120"/>
        </w:rPr>
        <w:t>extraordinary</w:t>
      </w:r>
      <w:r>
        <w:rPr>
          <w:spacing w:val="-2"/>
          <w:w w:val="120"/>
        </w:rPr>
        <w:t> </w:t>
      </w:r>
      <w:r>
        <w:rPr>
          <w:w w:val="120"/>
        </w:rPr>
        <w:t>power</w:t>
      </w:r>
      <w:r>
        <w:rPr>
          <w:spacing w:val="-4"/>
          <w:w w:val="120"/>
        </w:rPr>
        <w:t> </w:t>
      </w:r>
      <w:r>
        <w:rPr>
          <w:w w:val="120"/>
        </w:rPr>
        <w:t>reserved</w:t>
      </w:r>
      <w:r>
        <w:rPr>
          <w:spacing w:val="-2"/>
          <w:w w:val="120"/>
        </w:rPr>
        <w:t> </w:t>
      </w:r>
      <w:r>
        <w:rPr>
          <w:w w:val="120"/>
        </w:rPr>
        <w:t>for</w:t>
      </w:r>
    </w:p>
    <w:p>
      <w:pPr>
        <w:pStyle w:val="BodyText"/>
        <w:spacing w:line="204" w:lineRule="exact"/>
        <w:ind w:left="336"/>
      </w:pPr>
      <w:r>
        <w:rPr>
          <w:w w:val="120"/>
        </w:rPr>
        <w:t>those</w:t>
      </w:r>
      <w:r>
        <w:rPr>
          <w:spacing w:val="-10"/>
          <w:w w:val="120"/>
        </w:rPr>
        <w:t> </w:t>
      </w:r>
      <w:r>
        <w:rPr>
          <w:w w:val="120"/>
        </w:rPr>
        <w:t>circumstances</w:t>
      </w:r>
      <w:r>
        <w:rPr>
          <w:spacing w:val="-10"/>
          <w:w w:val="120"/>
        </w:rPr>
        <w:t> </w:t>
      </w:r>
      <w:r>
        <w:rPr>
          <w:w w:val="120"/>
        </w:rPr>
        <w:t>where</w:t>
      </w:r>
      <w:r>
        <w:rPr>
          <w:spacing w:val="-10"/>
          <w:w w:val="120"/>
        </w:rPr>
        <w:t> </w:t>
      </w:r>
      <w:r>
        <w:rPr>
          <w:w w:val="120"/>
        </w:rPr>
        <w:t>no</w:t>
      </w:r>
      <w:r>
        <w:rPr>
          <w:spacing w:val="-10"/>
          <w:w w:val="120"/>
        </w:rPr>
        <w:t> </w:t>
      </w:r>
      <w:r>
        <w:rPr>
          <w:spacing w:val="-4"/>
          <w:w w:val="120"/>
        </w:rPr>
        <w:t>other</w:t>
      </w:r>
    </w:p>
    <w:p>
      <w:pPr>
        <w:pStyle w:val="BodyText"/>
        <w:spacing w:before="43"/>
        <w:ind w:left="336"/>
      </w:pPr>
      <w:r>
        <w:rPr>
          <w:w w:val="115"/>
        </w:rPr>
        <w:t>remedy</w:t>
      </w:r>
      <w:r>
        <w:rPr>
          <w:spacing w:val="9"/>
          <w:w w:val="115"/>
        </w:rPr>
        <w:t> </w:t>
      </w:r>
      <w:r>
        <w:rPr>
          <w:w w:val="115"/>
        </w:rPr>
        <w:t>is</w:t>
      </w:r>
      <w:r>
        <w:rPr>
          <w:spacing w:val="9"/>
          <w:w w:val="115"/>
        </w:rPr>
        <w:t> </w:t>
      </w:r>
      <w:r>
        <w:rPr>
          <w:w w:val="115"/>
        </w:rPr>
        <w:t>sufficient.</w:t>
      </w:r>
      <w:r>
        <w:rPr>
          <w:spacing w:val="8"/>
          <w:w w:val="115"/>
        </w:rPr>
        <w:t> </w:t>
      </w:r>
      <w:r>
        <w:rPr>
          <w:w w:val="115"/>
        </w:rPr>
        <w:t>Landlords</w:t>
      </w:r>
      <w:r>
        <w:rPr>
          <w:spacing w:val="8"/>
          <w:w w:val="115"/>
        </w:rPr>
        <w:t> </w:t>
      </w:r>
      <w:r>
        <w:rPr>
          <w:spacing w:val="-5"/>
          <w:w w:val="115"/>
        </w:rPr>
        <w:t>do</w:t>
      </w:r>
    </w:p>
    <w:p>
      <w:pPr>
        <w:pStyle w:val="BodyText"/>
        <w:spacing w:line="290" w:lineRule="auto" w:before="84"/>
        <w:ind w:left="336" w:right="136"/>
      </w:pPr>
      <w:r>
        <w:rPr/>
        <w:br w:type="column"/>
      </w:r>
      <w:r>
        <w:rPr>
          <w:w w:val="120"/>
        </w:rPr>
        <w:t>not owe, rent, and sell property for the</w:t>
      </w:r>
      <w:r>
        <w:rPr>
          <w:spacing w:val="-7"/>
          <w:w w:val="120"/>
        </w:rPr>
        <w:t> </w:t>
      </w:r>
      <w:r>
        <w:rPr>
          <w:w w:val="120"/>
        </w:rPr>
        <w:t>right</w:t>
      </w:r>
      <w:r>
        <w:rPr>
          <w:spacing w:val="-5"/>
          <w:w w:val="120"/>
        </w:rPr>
        <w:t> </w:t>
      </w:r>
      <w:r>
        <w:rPr>
          <w:w w:val="120"/>
        </w:rPr>
        <w:t>to</w:t>
      </w:r>
      <w:r>
        <w:rPr>
          <w:spacing w:val="-7"/>
          <w:w w:val="120"/>
        </w:rPr>
        <w:t> </w:t>
      </w:r>
      <w:r>
        <w:rPr>
          <w:w w:val="120"/>
        </w:rPr>
        <w:t>evict,</w:t>
      </w:r>
      <w:r>
        <w:rPr>
          <w:spacing w:val="-5"/>
          <w:w w:val="120"/>
        </w:rPr>
        <w:t> </w:t>
      </w:r>
      <w:r>
        <w:rPr>
          <w:w w:val="120"/>
        </w:rPr>
        <w:t>they</w:t>
      </w:r>
      <w:r>
        <w:rPr>
          <w:spacing w:val="-6"/>
          <w:w w:val="120"/>
        </w:rPr>
        <w:t> </w:t>
      </w:r>
      <w:r>
        <w:rPr>
          <w:w w:val="120"/>
        </w:rPr>
        <w:t>do</w:t>
      </w:r>
      <w:r>
        <w:rPr>
          <w:spacing w:val="-7"/>
          <w:w w:val="120"/>
        </w:rPr>
        <w:t> </w:t>
      </w:r>
      <w:r>
        <w:rPr>
          <w:w w:val="120"/>
        </w:rPr>
        <w:t>so</w:t>
      </w:r>
      <w:r>
        <w:rPr>
          <w:spacing w:val="-7"/>
          <w:w w:val="120"/>
        </w:rPr>
        <w:t> </w:t>
      </w:r>
      <w:r>
        <w:rPr>
          <w:w w:val="120"/>
        </w:rPr>
        <w:t>to</w:t>
      </w:r>
      <w:r>
        <w:rPr>
          <w:spacing w:val="-7"/>
          <w:w w:val="120"/>
        </w:rPr>
        <w:t> </w:t>
      </w:r>
      <w:r>
        <w:rPr>
          <w:w w:val="120"/>
        </w:rPr>
        <w:t>make money on their investment. An adequate, fair resolution that avoids irreparable harm to vulnerable mothers,</w:t>
      </w:r>
      <w:r>
        <w:rPr>
          <w:spacing w:val="-13"/>
          <w:w w:val="120"/>
        </w:rPr>
        <w:t> </w:t>
      </w:r>
      <w:r>
        <w:rPr>
          <w:w w:val="120"/>
        </w:rPr>
        <w:t>infants,</w:t>
      </w:r>
      <w:r>
        <w:rPr>
          <w:spacing w:val="-13"/>
          <w:w w:val="120"/>
        </w:rPr>
        <w:t> </w:t>
      </w:r>
      <w:r>
        <w:rPr>
          <w:w w:val="120"/>
        </w:rPr>
        <w:t>and</w:t>
      </w:r>
      <w:r>
        <w:rPr>
          <w:spacing w:val="-13"/>
          <w:w w:val="120"/>
        </w:rPr>
        <w:t> </w:t>
      </w:r>
      <w:r>
        <w:rPr>
          <w:w w:val="120"/>
        </w:rPr>
        <w:t>children</w:t>
      </w:r>
      <w:r>
        <w:rPr>
          <w:spacing w:val="-13"/>
          <w:w w:val="120"/>
        </w:rPr>
        <w:t> </w:t>
      </w:r>
      <w:r>
        <w:rPr>
          <w:w w:val="120"/>
        </w:rPr>
        <w:t>would be to treat evictions like any other type of equitable relief, an extreme one. The interests of all parties can easily be squared with this view.</w:t>
      </w:r>
    </w:p>
    <w:p>
      <w:pPr>
        <w:pStyle w:val="BodyText"/>
        <w:spacing w:line="290" w:lineRule="auto"/>
        <w:ind w:left="336" w:right="653"/>
      </w:pPr>
      <w:r>
        <w:rPr>
          <w:w w:val="120"/>
        </w:rPr>
        <w:t>Landlords</w:t>
      </w:r>
      <w:r>
        <w:rPr>
          <w:spacing w:val="-14"/>
          <w:w w:val="120"/>
        </w:rPr>
        <w:t> </w:t>
      </w:r>
      <w:r>
        <w:rPr>
          <w:w w:val="120"/>
        </w:rPr>
        <w:t>get</w:t>
      </w:r>
      <w:r>
        <w:rPr>
          <w:spacing w:val="-13"/>
          <w:w w:val="120"/>
        </w:rPr>
        <w:t> </w:t>
      </w:r>
      <w:r>
        <w:rPr>
          <w:w w:val="120"/>
        </w:rPr>
        <w:t>paid,</w:t>
      </w:r>
      <w:r>
        <w:rPr>
          <w:spacing w:val="-14"/>
          <w:w w:val="120"/>
        </w:rPr>
        <w:t> </w:t>
      </w:r>
      <w:r>
        <w:rPr>
          <w:w w:val="120"/>
        </w:rPr>
        <w:t>tenants</w:t>
      </w:r>
      <w:r>
        <w:rPr>
          <w:spacing w:val="-13"/>
          <w:w w:val="120"/>
        </w:rPr>
        <w:t> </w:t>
      </w:r>
      <w:r>
        <w:rPr>
          <w:w w:val="120"/>
        </w:rPr>
        <w:t>stay </w:t>
      </w:r>
      <w:r>
        <w:rPr>
          <w:spacing w:val="-2"/>
          <w:w w:val="120"/>
        </w:rPr>
        <w:t>housed.</w:t>
      </w:r>
    </w:p>
    <w:p>
      <w:pPr>
        <w:pStyle w:val="BodyText"/>
        <w:spacing w:before="2"/>
        <w:rPr>
          <w:sz w:val="21"/>
        </w:rPr>
      </w:pPr>
    </w:p>
    <w:p>
      <w:pPr>
        <w:pStyle w:val="Heading2"/>
        <w:ind w:left="337"/>
      </w:pPr>
      <w:r>
        <w:rPr>
          <w:color w:val="3B9DD7"/>
          <w:spacing w:val="-2"/>
        </w:rPr>
        <w:t>CONCLUSION</w:t>
      </w:r>
    </w:p>
    <w:p>
      <w:pPr>
        <w:pStyle w:val="BodyText"/>
        <w:spacing w:before="7"/>
        <w:rPr>
          <w:rFonts w:ascii="Arial"/>
          <w:b/>
          <w:sz w:val="25"/>
        </w:rPr>
      </w:pPr>
    </w:p>
    <w:p>
      <w:pPr>
        <w:pStyle w:val="BodyText"/>
        <w:spacing w:line="290" w:lineRule="auto"/>
        <w:ind w:left="336" w:right="231"/>
      </w:pPr>
      <w:r>
        <w:rPr>
          <w:w w:val="120"/>
        </w:rPr>
        <w:t>Current Indiana law allows landlords to start the eviction process</w:t>
      </w:r>
      <w:r>
        <w:rPr>
          <w:spacing w:val="-14"/>
          <w:w w:val="120"/>
        </w:rPr>
        <w:t> </w:t>
      </w:r>
      <w:r>
        <w:rPr>
          <w:w w:val="120"/>
        </w:rPr>
        <w:t>in</w:t>
      </w:r>
      <w:r>
        <w:rPr>
          <w:spacing w:val="-13"/>
          <w:w w:val="120"/>
        </w:rPr>
        <w:t> </w:t>
      </w:r>
      <w:r>
        <w:rPr>
          <w:w w:val="120"/>
        </w:rPr>
        <w:t>as</w:t>
      </w:r>
      <w:r>
        <w:rPr>
          <w:spacing w:val="-14"/>
          <w:w w:val="120"/>
        </w:rPr>
        <w:t> </w:t>
      </w:r>
      <w:r>
        <w:rPr>
          <w:w w:val="120"/>
        </w:rPr>
        <w:t>few</w:t>
      </w:r>
      <w:r>
        <w:rPr>
          <w:spacing w:val="-13"/>
          <w:w w:val="120"/>
        </w:rPr>
        <w:t> </w:t>
      </w:r>
      <w:r>
        <w:rPr>
          <w:w w:val="120"/>
        </w:rPr>
        <w:t>as</w:t>
      </w:r>
      <w:r>
        <w:rPr>
          <w:spacing w:val="-14"/>
          <w:w w:val="120"/>
        </w:rPr>
        <w:t> </w:t>
      </w:r>
      <w:r>
        <w:rPr>
          <w:w w:val="120"/>
        </w:rPr>
        <w:t>10</w:t>
      </w:r>
      <w:r>
        <w:rPr>
          <w:spacing w:val="-13"/>
          <w:w w:val="120"/>
        </w:rPr>
        <w:t> </w:t>
      </w:r>
      <w:r>
        <w:rPr>
          <w:w w:val="120"/>
        </w:rPr>
        <w:t>days</w:t>
      </w:r>
      <w:r>
        <w:rPr>
          <w:spacing w:val="-14"/>
          <w:w w:val="120"/>
        </w:rPr>
        <w:t> </w:t>
      </w:r>
      <w:r>
        <w:rPr>
          <w:w w:val="120"/>
        </w:rPr>
        <w:t>after</w:t>
      </w:r>
      <w:r>
        <w:rPr>
          <w:spacing w:val="-13"/>
          <w:w w:val="120"/>
        </w:rPr>
        <w:t> </w:t>
      </w:r>
      <w:r>
        <w:rPr>
          <w:w w:val="120"/>
        </w:rPr>
        <w:t>the notice</w:t>
      </w:r>
      <w:r>
        <w:rPr>
          <w:spacing w:val="-14"/>
          <w:w w:val="120"/>
        </w:rPr>
        <w:t> </w:t>
      </w:r>
      <w:r>
        <w:rPr>
          <w:w w:val="120"/>
        </w:rPr>
        <w:t>is</w:t>
      </w:r>
      <w:r>
        <w:rPr>
          <w:spacing w:val="-13"/>
          <w:w w:val="120"/>
        </w:rPr>
        <w:t> </w:t>
      </w:r>
      <w:r>
        <w:rPr>
          <w:w w:val="120"/>
        </w:rPr>
        <w:t>received</w:t>
      </w:r>
      <w:r>
        <w:rPr>
          <w:spacing w:val="-12"/>
          <w:w w:val="120"/>
        </w:rPr>
        <w:t> </w:t>
      </w:r>
      <w:r>
        <w:rPr>
          <w:w w:val="120"/>
        </w:rPr>
        <w:t>from</w:t>
      </w:r>
      <w:r>
        <w:rPr>
          <w:spacing w:val="-12"/>
          <w:w w:val="120"/>
        </w:rPr>
        <w:t> </w:t>
      </w:r>
      <w:r>
        <w:rPr>
          <w:w w:val="120"/>
        </w:rPr>
        <w:t>the</w:t>
      </w:r>
      <w:r>
        <w:rPr>
          <w:spacing w:val="-14"/>
          <w:w w:val="120"/>
        </w:rPr>
        <w:t> </w:t>
      </w:r>
      <w:r>
        <w:rPr>
          <w:spacing w:val="-2"/>
          <w:w w:val="120"/>
        </w:rPr>
        <w:t>landlord.</w:t>
      </w:r>
    </w:p>
    <w:p>
      <w:pPr>
        <w:pStyle w:val="BodyText"/>
        <w:spacing w:line="290" w:lineRule="auto"/>
        <w:ind w:left="336" w:right="477"/>
      </w:pPr>
      <w:r>
        <w:rPr/>
        <w:drawing>
          <wp:anchor distT="0" distB="0" distL="0" distR="0" allowOverlap="1" layoutInCell="1" locked="0" behindDoc="0" simplePos="0" relativeHeight="15732736">
            <wp:simplePos x="0" y="0"/>
            <wp:positionH relativeFrom="page">
              <wp:posOffset>720001</wp:posOffset>
            </wp:positionH>
            <wp:positionV relativeFrom="paragraph">
              <wp:posOffset>782452</wp:posOffset>
            </wp:positionV>
            <wp:extent cx="4194898" cy="4265992"/>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3" cstate="print"/>
                    <a:stretch>
                      <a:fillRect/>
                    </a:stretch>
                  </pic:blipFill>
                  <pic:spPr>
                    <a:xfrm>
                      <a:off x="0" y="0"/>
                      <a:ext cx="4194898" cy="4265992"/>
                    </a:xfrm>
                    <a:prstGeom prst="rect">
                      <a:avLst/>
                    </a:prstGeom>
                  </pic:spPr>
                </pic:pic>
              </a:graphicData>
            </a:graphic>
          </wp:anchor>
        </w:drawing>
      </w:r>
      <w:r>
        <w:rPr>
          <w:w w:val="120"/>
        </w:rPr>
        <w:t>Evictions irreparably harm the </w:t>
      </w:r>
      <w:r>
        <w:rPr>
          <w:spacing w:val="-2"/>
          <w:w w:val="120"/>
        </w:rPr>
        <w:t>lives</w:t>
      </w:r>
      <w:r>
        <w:rPr>
          <w:spacing w:val="-11"/>
          <w:w w:val="120"/>
        </w:rPr>
        <w:t> </w:t>
      </w:r>
      <w:r>
        <w:rPr>
          <w:spacing w:val="-2"/>
          <w:w w:val="120"/>
        </w:rPr>
        <w:t>of</w:t>
      </w:r>
      <w:r>
        <w:rPr>
          <w:spacing w:val="-11"/>
          <w:w w:val="120"/>
        </w:rPr>
        <w:t> </w:t>
      </w:r>
      <w:r>
        <w:rPr>
          <w:spacing w:val="-2"/>
          <w:w w:val="120"/>
        </w:rPr>
        <w:t>Indiana’s</w:t>
      </w:r>
      <w:r>
        <w:rPr>
          <w:spacing w:val="-11"/>
          <w:w w:val="120"/>
        </w:rPr>
        <w:t> </w:t>
      </w:r>
      <w:r>
        <w:rPr>
          <w:spacing w:val="-2"/>
          <w:w w:val="120"/>
        </w:rPr>
        <w:t>most</w:t>
      </w:r>
      <w:r>
        <w:rPr>
          <w:spacing w:val="-10"/>
          <w:w w:val="120"/>
        </w:rPr>
        <w:t> </w:t>
      </w:r>
      <w:r>
        <w:rPr>
          <w:spacing w:val="-2"/>
          <w:w w:val="120"/>
        </w:rPr>
        <w:t>vulnerable </w:t>
      </w:r>
      <w:r>
        <w:rPr>
          <w:w w:val="120"/>
        </w:rPr>
        <w:t>residents,</w:t>
      </w:r>
      <w:r>
        <w:rPr>
          <w:w w:val="120"/>
          <w:position w:val="6"/>
          <w:sz w:val="10"/>
        </w:rPr>
        <w:t>17</w:t>
      </w:r>
      <w:r>
        <w:rPr>
          <w:spacing w:val="-5"/>
          <w:w w:val="120"/>
          <w:position w:val="6"/>
          <w:sz w:val="10"/>
        </w:rPr>
        <w:t> </w:t>
      </w:r>
      <w:r>
        <w:rPr>
          <w:w w:val="120"/>
        </w:rPr>
        <w:t>and</w:t>
      </w:r>
      <w:r>
        <w:rPr>
          <w:spacing w:val="-10"/>
          <w:w w:val="120"/>
        </w:rPr>
        <w:t> </w:t>
      </w:r>
      <w:r>
        <w:rPr>
          <w:w w:val="120"/>
        </w:rPr>
        <w:t>this</w:t>
      </w:r>
      <w:r>
        <w:rPr>
          <w:spacing w:val="-11"/>
          <w:w w:val="120"/>
        </w:rPr>
        <w:t> </w:t>
      </w:r>
      <w:r>
        <w:rPr>
          <w:w w:val="120"/>
        </w:rPr>
        <w:t>harm</w:t>
      </w:r>
      <w:r>
        <w:rPr>
          <w:spacing w:val="-10"/>
          <w:w w:val="120"/>
        </w:rPr>
        <w:t> </w:t>
      </w:r>
      <w:r>
        <w:rPr>
          <w:w w:val="120"/>
        </w:rPr>
        <w:t>impacts most deeply those households consisting of mothers, pregnant women,</w:t>
      </w:r>
      <w:r>
        <w:rPr>
          <w:spacing w:val="-4"/>
          <w:w w:val="120"/>
        </w:rPr>
        <w:t> </w:t>
      </w:r>
      <w:r>
        <w:rPr>
          <w:w w:val="120"/>
        </w:rPr>
        <w:t>and</w:t>
      </w:r>
      <w:r>
        <w:rPr>
          <w:spacing w:val="-4"/>
          <w:w w:val="120"/>
        </w:rPr>
        <w:t> </w:t>
      </w:r>
      <w:r>
        <w:rPr>
          <w:w w:val="120"/>
        </w:rPr>
        <w:t>young</w:t>
      </w:r>
      <w:r>
        <w:rPr>
          <w:spacing w:val="-5"/>
          <w:w w:val="120"/>
        </w:rPr>
        <w:t> </w:t>
      </w:r>
      <w:r>
        <w:rPr>
          <w:w w:val="120"/>
        </w:rPr>
        <w:t>children.</w:t>
      </w:r>
      <w:r>
        <w:rPr>
          <w:spacing w:val="-5"/>
          <w:w w:val="120"/>
        </w:rPr>
        <w:t> </w:t>
      </w:r>
      <w:r>
        <w:rPr>
          <w:w w:val="120"/>
        </w:rPr>
        <w:t>The removal of families through the eviction process requires a shift in legal analysis that permits a</w:t>
      </w:r>
    </w:p>
    <w:p>
      <w:pPr>
        <w:pStyle w:val="BodyText"/>
        <w:spacing w:line="290" w:lineRule="auto"/>
        <w:ind w:left="336" w:right="221"/>
      </w:pPr>
      <w:r>
        <w:rPr>
          <w:w w:val="120"/>
        </w:rPr>
        <w:t>balancing of harm suffered by both the landlord and tenant as well as the</w:t>
      </w:r>
      <w:r>
        <w:rPr>
          <w:spacing w:val="-14"/>
          <w:w w:val="120"/>
        </w:rPr>
        <w:t> </w:t>
      </w:r>
      <w:r>
        <w:rPr>
          <w:w w:val="120"/>
        </w:rPr>
        <w:t>entire</w:t>
      </w:r>
      <w:r>
        <w:rPr>
          <w:spacing w:val="-13"/>
          <w:w w:val="120"/>
        </w:rPr>
        <w:t> </w:t>
      </w:r>
      <w:r>
        <w:rPr>
          <w:w w:val="120"/>
        </w:rPr>
        <w:t>Indiana</w:t>
      </w:r>
      <w:r>
        <w:rPr>
          <w:spacing w:val="-14"/>
          <w:w w:val="120"/>
        </w:rPr>
        <w:t> </w:t>
      </w:r>
      <w:r>
        <w:rPr>
          <w:w w:val="120"/>
        </w:rPr>
        <w:t>community.</w:t>
      </w:r>
      <w:r>
        <w:rPr>
          <w:spacing w:val="-13"/>
          <w:w w:val="120"/>
        </w:rPr>
        <w:t> </w:t>
      </w:r>
      <w:r>
        <w:rPr>
          <w:w w:val="120"/>
        </w:rPr>
        <w:t>There are no equitable remedies more extreme</w:t>
      </w:r>
      <w:r>
        <w:rPr>
          <w:spacing w:val="-3"/>
          <w:w w:val="120"/>
        </w:rPr>
        <w:t> </w:t>
      </w:r>
      <w:r>
        <w:rPr>
          <w:w w:val="120"/>
        </w:rPr>
        <w:t>than</w:t>
      </w:r>
      <w:r>
        <w:rPr>
          <w:spacing w:val="-2"/>
          <w:w w:val="120"/>
        </w:rPr>
        <w:t> </w:t>
      </w:r>
      <w:r>
        <w:rPr>
          <w:w w:val="120"/>
        </w:rPr>
        <w:t>displacing</w:t>
      </w:r>
      <w:r>
        <w:rPr>
          <w:spacing w:val="-3"/>
          <w:w w:val="120"/>
        </w:rPr>
        <w:t> </w:t>
      </w:r>
      <w:r>
        <w:rPr>
          <w:w w:val="120"/>
        </w:rPr>
        <w:t>parents</w:t>
      </w:r>
      <w:r>
        <w:rPr>
          <w:spacing w:val="-3"/>
          <w:w w:val="120"/>
        </w:rPr>
        <w:t> </w:t>
      </w:r>
      <w:r>
        <w:rPr>
          <w:w w:val="120"/>
        </w:rPr>
        <w:t>and children</w:t>
      </w:r>
      <w:r>
        <w:rPr>
          <w:spacing w:val="-14"/>
          <w:w w:val="120"/>
        </w:rPr>
        <w:t> </w:t>
      </w:r>
      <w:r>
        <w:rPr>
          <w:w w:val="120"/>
        </w:rPr>
        <w:t>from</w:t>
      </w:r>
      <w:r>
        <w:rPr>
          <w:spacing w:val="-13"/>
          <w:w w:val="120"/>
        </w:rPr>
        <w:t> </w:t>
      </w:r>
      <w:r>
        <w:rPr>
          <w:w w:val="120"/>
        </w:rPr>
        <w:t>their</w:t>
      </w:r>
      <w:r>
        <w:rPr>
          <w:spacing w:val="-14"/>
          <w:w w:val="120"/>
        </w:rPr>
        <w:t> </w:t>
      </w:r>
      <w:r>
        <w:rPr>
          <w:w w:val="120"/>
        </w:rPr>
        <w:t>homes.</w:t>
      </w:r>
      <w:r>
        <w:rPr>
          <w:spacing w:val="-13"/>
          <w:w w:val="120"/>
        </w:rPr>
        <w:t> </w:t>
      </w:r>
      <w:r>
        <w:rPr>
          <w:w w:val="120"/>
        </w:rPr>
        <w:t>Evictions are the functional equivalent of preliminary injunctions, yet they</w:t>
      </w:r>
    </w:p>
    <w:p>
      <w:pPr>
        <w:pStyle w:val="BodyText"/>
        <w:spacing w:line="290" w:lineRule="auto"/>
        <w:ind w:left="336" w:right="136"/>
      </w:pPr>
      <w:r>
        <w:rPr>
          <w:w w:val="120"/>
        </w:rPr>
        <w:t>are</w:t>
      </w:r>
      <w:r>
        <w:rPr>
          <w:spacing w:val="-5"/>
          <w:w w:val="120"/>
        </w:rPr>
        <w:t> </w:t>
      </w:r>
      <w:r>
        <w:rPr>
          <w:w w:val="120"/>
        </w:rPr>
        <w:t>not</w:t>
      </w:r>
      <w:r>
        <w:rPr>
          <w:spacing w:val="-3"/>
          <w:w w:val="120"/>
        </w:rPr>
        <w:t> </w:t>
      </w:r>
      <w:r>
        <w:rPr>
          <w:w w:val="120"/>
        </w:rPr>
        <w:t>subject</w:t>
      </w:r>
      <w:r>
        <w:rPr>
          <w:spacing w:val="-3"/>
          <w:w w:val="120"/>
        </w:rPr>
        <w:t> </w:t>
      </w:r>
      <w:r>
        <w:rPr>
          <w:w w:val="120"/>
        </w:rPr>
        <w:t>to</w:t>
      </w:r>
      <w:r>
        <w:rPr>
          <w:spacing w:val="-5"/>
          <w:w w:val="120"/>
        </w:rPr>
        <w:t> </w:t>
      </w:r>
      <w:r>
        <w:rPr>
          <w:w w:val="120"/>
        </w:rPr>
        <w:t>the</w:t>
      </w:r>
      <w:r>
        <w:rPr>
          <w:spacing w:val="-5"/>
          <w:w w:val="120"/>
        </w:rPr>
        <w:t> </w:t>
      </w:r>
      <w:r>
        <w:rPr>
          <w:w w:val="120"/>
        </w:rPr>
        <w:t>same</w:t>
      </w:r>
      <w:r>
        <w:rPr>
          <w:spacing w:val="-5"/>
          <w:w w:val="120"/>
        </w:rPr>
        <w:t> </w:t>
      </w:r>
      <w:r>
        <w:rPr>
          <w:w w:val="120"/>
        </w:rPr>
        <w:t>level</w:t>
      </w:r>
      <w:r>
        <w:rPr>
          <w:spacing w:val="-5"/>
          <w:w w:val="120"/>
        </w:rPr>
        <w:t> </w:t>
      </w:r>
      <w:r>
        <w:rPr>
          <w:w w:val="120"/>
        </w:rPr>
        <w:t>of movant</w:t>
      </w:r>
      <w:r>
        <w:rPr>
          <w:spacing w:val="-14"/>
          <w:w w:val="120"/>
        </w:rPr>
        <w:t> </w:t>
      </w:r>
      <w:r>
        <w:rPr>
          <w:w w:val="120"/>
        </w:rPr>
        <w:t>burden</w:t>
      </w:r>
      <w:r>
        <w:rPr>
          <w:spacing w:val="-13"/>
          <w:w w:val="120"/>
        </w:rPr>
        <w:t> </w:t>
      </w:r>
      <w:r>
        <w:rPr>
          <w:w w:val="120"/>
        </w:rPr>
        <w:t>or</w:t>
      </w:r>
      <w:r>
        <w:rPr>
          <w:spacing w:val="-14"/>
          <w:w w:val="120"/>
        </w:rPr>
        <w:t> </w:t>
      </w:r>
      <w:r>
        <w:rPr>
          <w:w w:val="120"/>
        </w:rPr>
        <w:t>judicial</w:t>
      </w:r>
      <w:r>
        <w:rPr>
          <w:spacing w:val="-13"/>
          <w:w w:val="120"/>
        </w:rPr>
        <w:t> </w:t>
      </w:r>
      <w:r>
        <w:rPr>
          <w:w w:val="120"/>
        </w:rPr>
        <w:t>scrutiny. They deserve, at a minimum, the same legal scrutiny as any other </w:t>
      </w:r>
      <w:r>
        <w:rPr>
          <w:w w:val="120"/>
          <w:position w:val="2"/>
        </w:rPr>
        <w:t>claim for breach of contract. </w:t>
      </w:r>
      <w:r>
        <w:rPr>
          <w:spacing w:val="12"/>
        </w:rPr>
        <w:drawing>
          <wp:inline distT="0" distB="0" distL="0" distR="0">
            <wp:extent cx="119545" cy="119557"/>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4" cstate="print"/>
                    <a:stretch>
                      <a:fillRect/>
                    </a:stretch>
                  </pic:blipFill>
                  <pic:spPr>
                    <a:xfrm>
                      <a:off x="0" y="0"/>
                      <a:ext cx="119545" cy="119557"/>
                    </a:xfrm>
                    <a:prstGeom prst="rect">
                      <a:avLst/>
                    </a:prstGeom>
                  </pic:spPr>
                </pic:pic>
              </a:graphicData>
            </a:graphic>
          </wp:inline>
        </w:drawing>
      </w:r>
      <w:r>
        <w:rPr>
          <w:spacing w:val="12"/>
        </w:rPr>
      </w:r>
    </w:p>
    <w:p>
      <w:pPr>
        <w:pStyle w:val="BodyText"/>
        <w:spacing w:before="8"/>
        <w:rPr>
          <w:sz w:val="20"/>
        </w:rPr>
      </w:pPr>
    </w:p>
    <w:p>
      <w:pPr>
        <w:spacing w:line="290" w:lineRule="auto" w:before="0"/>
        <w:ind w:left="336" w:right="281" w:firstLine="0"/>
        <w:jc w:val="left"/>
        <w:rPr>
          <w:i/>
          <w:sz w:val="18"/>
        </w:rPr>
      </w:pPr>
      <w:r>
        <w:rPr>
          <w:i/>
          <w:w w:val="115"/>
          <w:sz w:val="18"/>
        </w:rPr>
        <w:t>This article was written as part of</w:t>
      </w:r>
      <w:r>
        <w:rPr>
          <w:i/>
          <w:spacing w:val="40"/>
          <w:w w:val="115"/>
          <w:sz w:val="18"/>
        </w:rPr>
        <w:t> </w:t>
      </w:r>
      <w:r>
        <w:rPr>
          <w:i/>
          <w:w w:val="115"/>
          <w:sz w:val="18"/>
        </w:rPr>
        <w:t>the</w:t>
      </w:r>
      <w:r>
        <w:rPr>
          <w:i/>
          <w:spacing w:val="-2"/>
          <w:w w:val="115"/>
          <w:sz w:val="18"/>
        </w:rPr>
        <w:t> </w:t>
      </w:r>
      <w:r>
        <w:rPr>
          <w:i/>
          <w:w w:val="115"/>
          <w:sz w:val="18"/>
        </w:rPr>
        <w:t>Housing</w:t>
      </w:r>
      <w:r>
        <w:rPr>
          <w:i/>
          <w:spacing w:val="-2"/>
          <w:w w:val="115"/>
          <w:sz w:val="18"/>
        </w:rPr>
        <w:t> </w:t>
      </w:r>
      <w:r>
        <w:rPr>
          <w:i/>
          <w:w w:val="115"/>
          <w:sz w:val="18"/>
        </w:rPr>
        <w:t>Equity</w:t>
      </w:r>
      <w:r>
        <w:rPr>
          <w:i/>
          <w:spacing w:val="-1"/>
          <w:w w:val="115"/>
          <w:sz w:val="18"/>
        </w:rPr>
        <w:t> </w:t>
      </w:r>
      <w:r>
        <w:rPr>
          <w:i/>
          <w:w w:val="115"/>
          <w:sz w:val="18"/>
        </w:rPr>
        <w:t>for</w:t>
      </w:r>
      <w:r>
        <w:rPr>
          <w:i/>
          <w:spacing w:val="-1"/>
          <w:w w:val="115"/>
          <w:sz w:val="18"/>
        </w:rPr>
        <w:t> </w:t>
      </w:r>
      <w:r>
        <w:rPr>
          <w:i/>
          <w:w w:val="115"/>
          <w:sz w:val="18"/>
        </w:rPr>
        <w:t>Infant</w:t>
      </w:r>
      <w:r>
        <w:rPr>
          <w:i/>
          <w:spacing w:val="-2"/>
          <w:w w:val="115"/>
          <w:sz w:val="18"/>
        </w:rPr>
        <w:t> </w:t>
      </w:r>
      <w:r>
        <w:rPr>
          <w:i/>
          <w:w w:val="115"/>
          <w:sz w:val="18"/>
        </w:rPr>
        <w:t>Health Initiative,</w:t>
      </w:r>
      <w:r>
        <w:rPr>
          <w:i/>
          <w:spacing w:val="-6"/>
          <w:w w:val="115"/>
          <w:sz w:val="18"/>
        </w:rPr>
        <w:t> </w:t>
      </w:r>
      <w:r>
        <w:rPr>
          <w:i/>
          <w:w w:val="115"/>
          <w:sz w:val="18"/>
        </w:rPr>
        <w:t>which</w:t>
      </w:r>
      <w:r>
        <w:rPr>
          <w:i/>
          <w:spacing w:val="-7"/>
          <w:w w:val="115"/>
          <w:sz w:val="18"/>
        </w:rPr>
        <w:t> </w:t>
      </w:r>
      <w:r>
        <w:rPr>
          <w:i/>
          <w:w w:val="115"/>
          <w:sz w:val="18"/>
        </w:rPr>
        <w:t>seeks</w:t>
      </w:r>
      <w:r>
        <w:rPr>
          <w:i/>
          <w:spacing w:val="-6"/>
          <w:w w:val="115"/>
          <w:sz w:val="18"/>
        </w:rPr>
        <w:t> </w:t>
      </w:r>
      <w:r>
        <w:rPr>
          <w:i/>
          <w:w w:val="115"/>
          <w:sz w:val="18"/>
        </w:rPr>
        <w:t>to</w:t>
      </w:r>
      <w:r>
        <w:rPr>
          <w:i/>
          <w:spacing w:val="-7"/>
          <w:w w:val="115"/>
          <w:sz w:val="18"/>
        </w:rPr>
        <w:t> </w:t>
      </w:r>
      <w:r>
        <w:rPr>
          <w:i/>
          <w:w w:val="115"/>
          <w:sz w:val="18"/>
        </w:rPr>
        <w:t>mitigate</w:t>
      </w:r>
      <w:r>
        <w:rPr>
          <w:i/>
          <w:spacing w:val="-7"/>
          <w:w w:val="115"/>
          <w:sz w:val="18"/>
        </w:rPr>
        <w:t> </w:t>
      </w:r>
      <w:r>
        <w:rPr>
          <w:i/>
          <w:w w:val="115"/>
          <w:sz w:val="18"/>
        </w:rPr>
        <w:t>the harm caused by evictions, especially to mothers and infants. Students and faculty in the Health and Human...</w:t>
      </w:r>
    </w:p>
    <w:p>
      <w:pPr>
        <w:spacing w:after="0" w:line="290" w:lineRule="auto"/>
        <w:jc w:val="left"/>
        <w:rPr>
          <w:sz w:val="18"/>
        </w:rPr>
        <w:sectPr>
          <w:pgSz w:w="12060" w:h="15660"/>
          <w:pgMar w:header="0" w:footer="971" w:top="1020" w:bottom="1160" w:left="740" w:right="660"/>
          <w:cols w:num="3" w:equalWidth="0">
            <w:col w:w="3471" w:space="40"/>
            <w:col w:w="3413" w:space="39"/>
            <w:col w:w="3697"/>
          </w:cols>
        </w:sectPr>
      </w:pPr>
    </w:p>
    <w:p>
      <w:pPr>
        <w:pStyle w:val="BodyText"/>
        <w:rPr>
          <w:i/>
          <w:sz w:val="20"/>
        </w:rPr>
      </w:pPr>
    </w:p>
    <w:p>
      <w:pPr>
        <w:pStyle w:val="BodyText"/>
        <w:spacing w:before="9"/>
        <w:rPr>
          <w:i/>
          <w:sz w:val="15"/>
        </w:rPr>
      </w:pPr>
    </w:p>
    <w:p>
      <w:pPr>
        <w:spacing w:before="99"/>
        <w:ind w:left="0" w:right="1036" w:firstLine="0"/>
        <w:jc w:val="right"/>
        <w:rPr>
          <w:b/>
          <w:sz w:val="20"/>
        </w:rPr>
      </w:pPr>
      <w:r>
        <w:rPr>
          <w:b/>
          <w:color w:val="3B9DD7"/>
          <w:w w:val="115"/>
          <w:sz w:val="20"/>
        </w:rPr>
        <w:t>Continued</w:t>
      </w:r>
      <w:r>
        <w:rPr>
          <w:b/>
          <w:color w:val="3B9DD7"/>
          <w:spacing w:val="-1"/>
          <w:w w:val="115"/>
          <w:sz w:val="20"/>
        </w:rPr>
        <w:t> </w:t>
      </w:r>
      <w:r>
        <w:rPr>
          <w:b/>
          <w:color w:val="3B9DD7"/>
          <w:w w:val="115"/>
          <w:sz w:val="20"/>
        </w:rPr>
        <w:t>on page </w:t>
      </w:r>
      <w:r>
        <w:rPr>
          <w:b/>
          <w:color w:val="3B9DD7"/>
          <w:spacing w:val="-2"/>
          <w:w w:val="115"/>
          <w:sz w:val="20"/>
        </w:rPr>
        <w:t>37...</w:t>
      </w:r>
    </w:p>
    <w:p>
      <w:pPr>
        <w:spacing w:after="0"/>
        <w:jc w:val="right"/>
        <w:rPr>
          <w:sz w:val="20"/>
        </w:rPr>
        <w:sectPr>
          <w:type w:val="continuous"/>
          <w:pgSz w:w="12060" w:h="15660"/>
          <w:pgMar w:header="0" w:footer="972" w:top="1060" w:bottom="1160" w:left="740" w:right="660"/>
        </w:sectPr>
      </w:pPr>
    </w:p>
    <w:p>
      <w:pPr>
        <w:spacing w:before="83"/>
        <w:ind w:left="110" w:right="0" w:firstLine="0"/>
        <w:jc w:val="left"/>
        <w:rPr>
          <w:b/>
          <w:sz w:val="20"/>
        </w:rPr>
      </w:pPr>
      <w:r>
        <w:rPr>
          <w:b/>
          <w:color w:val="3B9DD7"/>
          <w:w w:val="115"/>
          <w:sz w:val="20"/>
        </w:rPr>
        <w:t>Continued from page</w:t>
      </w:r>
      <w:r>
        <w:rPr>
          <w:b/>
          <w:color w:val="3B9DD7"/>
          <w:spacing w:val="1"/>
          <w:w w:val="115"/>
          <w:sz w:val="20"/>
        </w:rPr>
        <w:t> </w:t>
      </w:r>
      <w:r>
        <w:rPr>
          <w:b/>
          <w:color w:val="3B9DD7"/>
          <w:spacing w:val="-2"/>
          <w:w w:val="115"/>
          <w:sz w:val="20"/>
        </w:rPr>
        <w:t>22...</w:t>
      </w:r>
    </w:p>
    <w:p>
      <w:pPr>
        <w:pStyle w:val="BodyText"/>
        <w:rPr>
          <w:b/>
          <w:sz w:val="22"/>
        </w:rPr>
      </w:pPr>
    </w:p>
    <w:p>
      <w:pPr>
        <w:pStyle w:val="BodyText"/>
        <w:spacing w:before="3"/>
        <w:rPr>
          <w:b/>
          <w:sz w:val="21"/>
        </w:rPr>
      </w:pPr>
    </w:p>
    <w:p>
      <w:pPr>
        <w:spacing w:line="290" w:lineRule="auto" w:before="0"/>
        <w:ind w:left="110" w:right="134" w:firstLine="0"/>
        <w:jc w:val="left"/>
        <w:rPr>
          <w:i/>
          <w:sz w:val="18"/>
        </w:rPr>
      </w:pPr>
      <w:r>
        <w:rPr>
          <w:i/>
          <w:w w:val="115"/>
          <w:sz w:val="18"/>
        </w:rPr>
        <w:t>Rights</w:t>
      </w:r>
      <w:r>
        <w:rPr>
          <w:i/>
          <w:spacing w:val="-13"/>
          <w:w w:val="115"/>
          <w:sz w:val="18"/>
        </w:rPr>
        <w:t> </w:t>
      </w:r>
      <w:r>
        <w:rPr>
          <w:i/>
          <w:w w:val="115"/>
          <w:sz w:val="18"/>
        </w:rPr>
        <w:t>Clinic</w:t>
      </w:r>
      <w:r>
        <w:rPr>
          <w:i/>
          <w:spacing w:val="-13"/>
          <w:w w:val="115"/>
          <w:sz w:val="18"/>
        </w:rPr>
        <w:t> </w:t>
      </w:r>
      <w:r>
        <w:rPr>
          <w:i/>
          <w:w w:val="115"/>
          <w:sz w:val="18"/>
        </w:rPr>
        <w:t>at</w:t>
      </w:r>
      <w:r>
        <w:rPr>
          <w:i/>
          <w:spacing w:val="-13"/>
          <w:w w:val="115"/>
          <w:sz w:val="18"/>
        </w:rPr>
        <w:t> </w:t>
      </w:r>
      <w:r>
        <w:rPr>
          <w:i/>
          <w:w w:val="115"/>
          <w:sz w:val="18"/>
        </w:rPr>
        <w:t>IU</w:t>
      </w:r>
      <w:r>
        <w:rPr>
          <w:i/>
          <w:spacing w:val="-13"/>
          <w:w w:val="115"/>
          <w:sz w:val="18"/>
        </w:rPr>
        <w:t> </w:t>
      </w:r>
      <w:r>
        <w:rPr>
          <w:i/>
          <w:w w:val="115"/>
          <w:sz w:val="18"/>
        </w:rPr>
        <w:t>McKinney</w:t>
      </w:r>
      <w:r>
        <w:rPr>
          <w:i/>
          <w:spacing w:val="-13"/>
          <w:w w:val="115"/>
          <w:sz w:val="18"/>
        </w:rPr>
        <w:t> </w:t>
      </w:r>
      <w:r>
        <w:rPr>
          <w:i/>
          <w:w w:val="115"/>
          <w:sz w:val="18"/>
        </w:rPr>
        <w:t>School of Law join the Housing Equity for Infant</w:t>
      </w:r>
      <w:r>
        <w:rPr>
          <w:i/>
          <w:spacing w:val="-10"/>
          <w:w w:val="115"/>
          <w:sz w:val="18"/>
        </w:rPr>
        <w:t> </w:t>
      </w:r>
      <w:r>
        <w:rPr>
          <w:i/>
          <w:w w:val="115"/>
          <w:sz w:val="18"/>
        </w:rPr>
        <w:t>Health</w:t>
      </w:r>
      <w:r>
        <w:rPr>
          <w:i/>
          <w:spacing w:val="-10"/>
          <w:w w:val="115"/>
          <w:sz w:val="18"/>
        </w:rPr>
        <w:t> </w:t>
      </w:r>
      <w:r>
        <w:rPr>
          <w:i/>
          <w:w w:val="115"/>
          <w:sz w:val="18"/>
        </w:rPr>
        <w:t>Initiative</w:t>
      </w:r>
      <w:r>
        <w:rPr>
          <w:i/>
          <w:spacing w:val="-10"/>
          <w:w w:val="115"/>
          <w:sz w:val="18"/>
        </w:rPr>
        <w:t> </w:t>
      </w:r>
      <w:r>
        <w:rPr>
          <w:i/>
          <w:w w:val="115"/>
          <w:sz w:val="18"/>
        </w:rPr>
        <w:t>in</w:t>
      </w:r>
      <w:r>
        <w:rPr>
          <w:i/>
          <w:spacing w:val="-10"/>
          <w:w w:val="115"/>
          <w:sz w:val="18"/>
        </w:rPr>
        <w:t> </w:t>
      </w:r>
      <w:r>
        <w:rPr>
          <w:i/>
          <w:w w:val="115"/>
          <w:sz w:val="18"/>
        </w:rPr>
        <w:t>promoting policy change to secure the human right to housing in Indiana for mothers and infants.</w:t>
      </w:r>
    </w:p>
    <w:p>
      <w:pPr>
        <w:pStyle w:val="BodyText"/>
        <w:spacing w:before="5"/>
        <w:rPr>
          <w:i/>
          <w:sz w:val="21"/>
        </w:rPr>
      </w:pPr>
    </w:p>
    <w:p>
      <w:pPr>
        <w:spacing w:line="290" w:lineRule="auto" w:before="1"/>
        <w:ind w:left="110" w:right="0" w:firstLine="0"/>
        <w:jc w:val="left"/>
        <w:rPr>
          <w:i/>
          <w:sz w:val="18"/>
        </w:rPr>
      </w:pPr>
      <w:r>
        <w:rPr>
          <w:i/>
          <w:w w:val="115"/>
          <w:sz w:val="18"/>
        </w:rPr>
        <w:t>This article represents the authors’ opinions and is not endorsed by the Indiana State Bar Association. Res Gestae invites members with an opposing</w:t>
      </w:r>
      <w:r>
        <w:rPr>
          <w:i/>
          <w:spacing w:val="-9"/>
          <w:w w:val="115"/>
          <w:sz w:val="18"/>
        </w:rPr>
        <w:t> </w:t>
      </w:r>
      <w:r>
        <w:rPr>
          <w:i/>
          <w:w w:val="115"/>
          <w:sz w:val="18"/>
        </w:rPr>
        <w:t>view</w:t>
      </w:r>
      <w:r>
        <w:rPr>
          <w:i/>
          <w:spacing w:val="-8"/>
          <w:w w:val="115"/>
          <w:sz w:val="18"/>
        </w:rPr>
        <w:t> </w:t>
      </w:r>
      <w:r>
        <w:rPr>
          <w:i/>
          <w:w w:val="115"/>
          <w:sz w:val="18"/>
        </w:rPr>
        <w:t>to</w:t>
      </w:r>
      <w:r>
        <w:rPr>
          <w:i/>
          <w:spacing w:val="-9"/>
          <w:w w:val="115"/>
          <w:sz w:val="18"/>
        </w:rPr>
        <w:t> </w:t>
      </w:r>
      <w:r>
        <w:rPr>
          <w:i/>
          <w:w w:val="115"/>
          <w:sz w:val="18"/>
        </w:rPr>
        <w:t>submit</w:t>
      </w:r>
      <w:r>
        <w:rPr>
          <w:i/>
          <w:spacing w:val="-9"/>
          <w:w w:val="115"/>
          <w:sz w:val="18"/>
        </w:rPr>
        <w:t> </w:t>
      </w:r>
      <w:r>
        <w:rPr>
          <w:i/>
          <w:w w:val="115"/>
          <w:sz w:val="18"/>
        </w:rPr>
        <w:t>an</w:t>
      </w:r>
      <w:r>
        <w:rPr>
          <w:i/>
          <w:spacing w:val="-9"/>
          <w:w w:val="115"/>
          <w:sz w:val="18"/>
        </w:rPr>
        <w:t> </w:t>
      </w:r>
      <w:r>
        <w:rPr>
          <w:i/>
          <w:w w:val="115"/>
          <w:sz w:val="18"/>
        </w:rPr>
        <w:t>essay</w:t>
      </w:r>
      <w:r>
        <w:rPr>
          <w:i/>
          <w:spacing w:val="-8"/>
          <w:w w:val="115"/>
          <w:sz w:val="18"/>
        </w:rPr>
        <w:t> </w:t>
      </w:r>
      <w:r>
        <w:rPr>
          <w:i/>
          <w:w w:val="115"/>
          <w:sz w:val="18"/>
        </w:rPr>
        <w:t>for </w:t>
      </w:r>
      <w:r>
        <w:rPr>
          <w:i/>
          <w:spacing w:val="-2"/>
          <w:w w:val="115"/>
          <w:sz w:val="18"/>
        </w:rPr>
        <w:t>consideration.</w:t>
      </w:r>
    </w:p>
    <w:p>
      <w:pPr>
        <w:pStyle w:val="BodyText"/>
        <w:spacing w:before="4"/>
        <w:rPr>
          <w:i/>
          <w:sz w:val="21"/>
        </w:rPr>
      </w:pPr>
    </w:p>
    <w:p>
      <w:pPr>
        <w:pStyle w:val="Heading2"/>
        <w:spacing w:before="1"/>
      </w:pPr>
      <w:r>
        <w:rPr>
          <w:color w:val="3B9DD7"/>
          <w:spacing w:val="-2"/>
        </w:rPr>
        <w:t>FOOTNOTES:</w:t>
      </w:r>
    </w:p>
    <w:p>
      <w:pPr>
        <w:pStyle w:val="BodyText"/>
        <w:spacing w:before="10"/>
        <w:rPr>
          <w:rFonts w:ascii="Arial"/>
          <w:b/>
          <w:sz w:val="22"/>
        </w:rPr>
      </w:pPr>
    </w:p>
    <w:p>
      <w:pPr>
        <w:pStyle w:val="ListParagraph"/>
        <w:numPr>
          <w:ilvl w:val="0"/>
          <w:numId w:val="1"/>
        </w:numPr>
        <w:tabs>
          <w:tab w:pos="650" w:val="left" w:leader="none"/>
        </w:tabs>
        <w:spacing w:line="254" w:lineRule="auto" w:before="1" w:after="0"/>
        <w:ind w:left="650" w:right="425" w:hanging="270"/>
        <w:jc w:val="left"/>
        <w:rPr>
          <w:sz w:val="18"/>
        </w:rPr>
      </w:pPr>
      <w:r>
        <w:rPr>
          <w:w w:val="110"/>
          <w:sz w:val="18"/>
        </w:rPr>
        <w:t>Ind.</w:t>
      </w:r>
      <w:r>
        <w:rPr>
          <w:spacing w:val="-10"/>
          <w:w w:val="110"/>
          <w:sz w:val="18"/>
        </w:rPr>
        <w:t> </w:t>
      </w:r>
      <w:r>
        <w:rPr>
          <w:w w:val="110"/>
          <w:sz w:val="18"/>
        </w:rPr>
        <w:t>Code</w:t>
      </w:r>
      <w:r>
        <w:rPr>
          <w:spacing w:val="-10"/>
          <w:w w:val="110"/>
          <w:sz w:val="18"/>
        </w:rPr>
        <w:t> </w:t>
      </w:r>
      <w:r>
        <w:rPr>
          <w:w w:val="110"/>
          <w:sz w:val="18"/>
        </w:rPr>
        <w:t>Ann.</w:t>
      </w:r>
      <w:r>
        <w:rPr>
          <w:spacing w:val="-10"/>
          <w:w w:val="110"/>
          <w:sz w:val="18"/>
        </w:rPr>
        <w:t> </w:t>
      </w:r>
      <w:r>
        <w:rPr>
          <w:w w:val="110"/>
          <w:sz w:val="18"/>
        </w:rPr>
        <w:t>§</w:t>
      </w:r>
      <w:r>
        <w:rPr>
          <w:spacing w:val="-10"/>
          <w:w w:val="110"/>
          <w:sz w:val="18"/>
        </w:rPr>
        <w:t> </w:t>
      </w:r>
      <w:r>
        <w:rPr>
          <w:w w:val="110"/>
          <w:sz w:val="18"/>
        </w:rPr>
        <w:t>32-31-1-6 </w:t>
      </w:r>
      <w:r>
        <w:rPr>
          <w:spacing w:val="-2"/>
          <w:w w:val="115"/>
          <w:sz w:val="18"/>
        </w:rPr>
        <w:t>(West).</w:t>
      </w:r>
    </w:p>
    <w:p>
      <w:pPr>
        <w:pStyle w:val="ListParagraph"/>
        <w:numPr>
          <w:ilvl w:val="0"/>
          <w:numId w:val="1"/>
        </w:numPr>
        <w:tabs>
          <w:tab w:pos="650" w:val="left" w:leader="none"/>
        </w:tabs>
        <w:spacing w:line="254" w:lineRule="auto" w:before="1" w:after="0"/>
        <w:ind w:left="650" w:right="310" w:hanging="270"/>
        <w:jc w:val="left"/>
        <w:rPr>
          <w:sz w:val="18"/>
        </w:rPr>
      </w:pPr>
      <w:r>
        <w:rPr>
          <w:i/>
          <w:w w:val="115"/>
          <w:sz w:val="18"/>
        </w:rPr>
        <w:t>Indiana</w:t>
      </w:r>
      <w:r>
        <w:rPr>
          <w:i/>
          <w:spacing w:val="-2"/>
          <w:w w:val="115"/>
          <w:sz w:val="18"/>
        </w:rPr>
        <w:t> </w:t>
      </w:r>
      <w:r>
        <w:rPr>
          <w:i/>
          <w:w w:val="115"/>
          <w:sz w:val="18"/>
        </w:rPr>
        <w:t>Fam.</w:t>
      </w:r>
      <w:r>
        <w:rPr>
          <w:i/>
          <w:spacing w:val="-2"/>
          <w:w w:val="115"/>
          <w:sz w:val="18"/>
        </w:rPr>
        <w:t> </w:t>
      </w:r>
      <w:r>
        <w:rPr>
          <w:i/>
          <w:w w:val="115"/>
          <w:sz w:val="18"/>
        </w:rPr>
        <w:t>&amp;</w:t>
      </w:r>
      <w:r>
        <w:rPr>
          <w:i/>
          <w:spacing w:val="-2"/>
          <w:w w:val="115"/>
          <w:sz w:val="18"/>
        </w:rPr>
        <w:t> </w:t>
      </w:r>
      <w:r>
        <w:rPr>
          <w:i/>
          <w:w w:val="115"/>
          <w:sz w:val="18"/>
        </w:rPr>
        <w:t>Soc.</w:t>
      </w:r>
      <w:r>
        <w:rPr>
          <w:i/>
          <w:spacing w:val="-2"/>
          <w:w w:val="115"/>
          <w:sz w:val="18"/>
        </w:rPr>
        <w:t> </w:t>
      </w:r>
      <w:r>
        <w:rPr>
          <w:i/>
          <w:w w:val="115"/>
          <w:sz w:val="18"/>
        </w:rPr>
        <w:t>Servs. </w:t>
      </w:r>
      <w:r>
        <w:rPr>
          <w:i/>
          <w:spacing w:val="-2"/>
          <w:w w:val="115"/>
          <w:sz w:val="18"/>
        </w:rPr>
        <w:t>Admin.</w:t>
      </w:r>
      <w:r>
        <w:rPr>
          <w:i/>
          <w:spacing w:val="-11"/>
          <w:w w:val="115"/>
          <w:sz w:val="18"/>
        </w:rPr>
        <w:t> </w:t>
      </w:r>
      <w:r>
        <w:rPr>
          <w:i/>
          <w:spacing w:val="-2"/>
          <w:w w:val="115"/>
          <w:sz w:val="18"/>
        </w:rPr>
        <w:t>v.</w:t>
      </w:r>
      <w:r>
        <w:rPr>
          <w:i/>
          <w:spacing w:val="-11"/>
          <w:w w:val="115"/>
          <w:sz w:val="18"/>
        </w:rPr>
        <w:t> </w:t>
      </w:r>
      <w:r>
        <w:rPr>
          <w:i/>
          <w:spacing w:val="-2"/>
          <w:w w:val="115"/>
          <w:sz w:val="18"/>
        </w:rPr>
        <w:t>Walgreen</w:t>
      </w:r>
      <w:r>
        <w:rPr>
          <w:i/>
          <w:spacing w:val="-11"/>
          <w:w w:val="115"/>
          <w:sz w:val="18"/>
        </w:rPr>
        <w:t> </w:t>
      </w:r>
      <w:r>
        <w:rPr>
          <w:i/>
          <w:spacing w:val="-2"/>
          <w:w w:val="115"/>
          <w:sz w:val="18"/>
        </w:rPr>
        <w:t>Co.</w:t>
      </w:r>
      <w:r>
        <w:rPr>
          <w:spacing w:val="-2"/>
          <w:w w:val="115"/>
          <w:sz w:val="18"/>
        </w:rPr>
        <w:t>,</w:t>
      </w:r>
      <w:r>
        <w:rPr>
          <w:spacing w:val="-11"/>
          <w:w w:val="115"/>
          <w:sz w:val="18"/>
        </w:rPr>
        <w:t> </w:t>
      </w:r>
      <w:r>
        <w:rPr>
          <w:spacing w:val="-2"/>
          <w:w w:val="115"/>
          <w:sz w:val="18"/>
        </w:rPr>
        <w:t>769 </w:t>
      </w:r>
      <w:r>
        <w:rPr>
          <w:w w:val="110"/>
          <w:sz w:val="18"/>
        </w:rPr>
        <w:t>N.E.2d</w:t>
      </w:r>
      <w:r>
        <w:rPr>
          <w:spacing w:val="-2"/>
          <w:w w:val="110"/>
          <w:sz w:val="18"/>
        </w:rPr>
        <w:t> </w:t>
      </w:r>
      <w:r>
        <w:rPr>
          <w:w w:val="110"/>
          <w:sz w:val="18"/>
        </w:rPr>
        <w:t>158,</w:t>
      </w:r>
      <w:r>
        <w:rPr>
          <w:spacing w:val="-2"/>
          <w:w w:val="110"/>
          <w:sz w:val="18"/>
        </w:rPr>
        <w:t> </w:t>
      </w:r>
      <w:r>
        <w:rPr>
          <w:w w:val="110"/>
          <w:sz w:val="18"/>
        </w:rPr>
        <w:t>161</w:t>
      </w:r>
      <w:r>
        <w:rPr>
          <w:spacing w:val="-3"/>
          <w:w w:val="110"/>
          <w:sz w:val="18"/>
        </w:rPr>
        <w:t> </w:t>
      </w:r>
      <w:r>
        <w:rPr>
          <w:w w:val="110"/>
          <w:sz w:val="18"/>
        </w:rPr>
        <w:t>(Ind.</w:t>
      </w:r>
      <w:r>
        <w:rPr>
          <w:spacing w:val="-3"/>
          <w:w w:val="110"/>
          <w:sz w:val="18"/>
        </w:rPr>
        <w:t> </w:t>
      </w:r>
      <w:r>
        <w:rPr>
          <w:w w:val="110"/>
          <w:sz w:val="18"/>
        </w:rPr>
        <w:t>2002).</w:t>
      </w:r>
    </w:p>
    <w:p>
      <w:pPr>
        <w:pStyle w:val="BodyText"/>
        <w:spacing w:line="254" w:lineRule="auto" w:before="2"/>
        <w:ind w:left="650" w:right="134"/>
      </w:pPr>
      <w:r>
        <w:rPr/>
        <w:drawing>
          <wp:anchor distT="0" distB="0" distL="0" distR="0" allowOverlap="1" layoutInCell="1" locked="0" behindDoc="0" simplePos="0" relativeHeight="15733760">
            <wp:simplePos x="0" y="0"/>
            <wp:positionH relativeFrom="page">
              <wp:posOffset>2767981</wp:posOffset>
            </wp:positionH>
            <wp:positionV relativeFrom="paragraph">
              <wp:posOffset>166516</wp:posOffset>
            </wp:positionV>
            <wp:extent cx="4170119" cy="4240799"/>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6" cstate="print"/>
                    <a:stretch>
                      <a:fillRect/>
                    </a:stretch>
                  </pic:blipFill>
                  <pic:spPr>
                    <a:xfrm>
                      <a:off x="0" y="0"/>
                      <a:ext cx="4170119" cy="4240799"/>
                    </a:xfrm>
                    <a:prstGeom prst="rect">
                      <a:avLst/>
                    </a:prstGeom>
                  </pic:spPr>
                </pic:pic>
              </a:graphicData>
            </a:graphic>
          </wp:anchor>
        </w:drawing>
      </w:r>
      <w:r>
        <w:rPr>
          <w:spacing w:val="-2"/>
          <w:w w:val="120"/>
        </w:rPr>
        <w:t>The</w:t>
      </w:r>
      <w:r>
        <w:rPr>
          <w:spacing w:val="-10"/>
          <w:w w:val="120"/>
        </w:rPr>
        <w:t> </w:t>
      </w:r>
      <w:r>
        <w:rPr>
          <w:spacing w:val="-2"/>
          <w:w w:val="120"/>
        </w:rPr>
        <w:t>fourth</w:t>
      </w:r>
      <w:r>
        <w:rPr>
          <w:spacing w:val="-9"/>
          <w:w w:val="120"/>
        </w:rPr>
        <w:t> </w:t>
      </w:r>
      <w:r>
        <w:rPr>
          <w:spacing w:val="-2"/>
          <w:w w:val="120"/>
        </w:rPr>
        <w:t>prong</w:t>
      </w:r>
      <w:r>
        <w:rPr>
          <w:spacing w:val="-10"/>
          <w:w w:val="120"/>
        </w:rPr>
        <w:t> </w:t>
      </w:r>
      <w:r>
        <w:rPr>
          <w:spacing w:val="-2"/>
          <w:w w:val="120"/>
        </w:rPr>
        <w:t>of</w:t>
      </w:r>
      <w:r>
        <w:rPr>
          <w:spacing w:val="-10"/>
          <w:w w:val="120"/>
        </w:rPr>
        <w:t> </w:t>
      </w:r>
      <w:r>
        <w:rPr>
          <w:spacing w:val="-2"/>
          <w:w w:val="120"/>
        </w:rPr>
        <w:t>this</w:t>
      </w:r>
      <w:r>
        <w:rPr>
          <w:spacing w:val="-10"/>
          <w:w w:val="120"/>
        </w:rPr>
        <w:t> </w:t>
      </w:r>
      <w:r>
        <w:rPr>
          <w:spacing w:val="-2"/>
          <w:w w:val="120"/>
        </w:rPr>
        <w:t>test, </w:t>
      </w:r>
      <w:r>
        <w:rPr>
          <w:w w:val="120"/>
        </w:rPr>
        <w:t>the reasonable likelihood</w:t>
      </w:r>
    </w:p>
    <w:p>
      <w:pPr>
        <w:pStyle w:val="BodyText"/>
        <w:spacing w:line="254" w:lineRule="auto" w:before="1"/>
        <w:ind w:left="650" w:right="415"/>
      </w:pPr>
      <w:r>
        <w:rPr>
          <w:w w:val="120"/>
        </w:rPr>
        <w:t>of success on the merits, has been omitted from </w:t>
      </w:r>
      <w:r>
        <w:rPr>
          <w:spacing w:val="-2"/>
          <w:w w:val="120"/>
        </w:rPr>
        <w:t>this</w:t>
      </w:r>
      <w:r>
        <w:rPr>
          <w:spacing w:val="-14"/>
          <w:w w:val="120"/>
        </w:rPr>
        <w:t> </w:t>
      </w:r>
      <w:r>
        <w:rPr>
          <w:spacing w:val="-2"/>
          <w:w w:val="120"/>
        </w:rPr>
        <w:t>article</w:t>
      </w:r>
      <w:r>
        <w:rPr>
          <w:spacing w:val="-11"/>
          <w:w w:val="120"/>
        </w:rPr>
        <w:t> </w:t>
      </w:r>
      <w:r>
        <w:rPr>
          <w:spacing w:val="-2"/>
          <w:w w:val="120"/>
        </w:rPr>
        <w:t>for</w:t>
      </w:r>
      <w:r>
        <w:rPr>
          <w:spacing w:val="-12"/>
          <w:w w:val="120"/>
        </w:rPr>
        <w:t> </w:t>
      </w:r>
      <w:r>
        <w:rPr>
          <w:spacing w:val="-2"/>
          <w:w w:val="120"/>
        </w:rPr>
        <w:t>clarity.</w:t>
      </w:r>
      <w:r>
        <w:rPr>
          <w:spacing w:val="-11"/>
          <w:w w:val="120"/>
        </w:rPr>
        <w:t> </w:t>
      </w:r>
      <w:r>
        <w:rPr>
          <w:spacing w:val="-2"/>
          <w:w w:val="120"/>
        </w:rPr>
        <w:t>The</w:t>
      </w:r>
    </w:p>
    <w:p>
      <w:pPr>
        <w:pStyle w:val="BodyText"/>
        <w:spacing w:line="254" w:lineRule="auto" w:before="2"/>
        <w:ind w:left="650" w:right="39"/>
      </w:pPr>
      <w:r>
        <w:rPr>
          <w:w w:val="120"/>
        </w:rPr>
        <w:t>fundamental message of this article</w:t>
      </w:r>
      <w:r>
        <w:rPr>
          <w:spacing w:val="-16"/>
          <w:w w:val="120"/>
        </w:rPr>
        <w:t> </w:t>
      </w:r>
      <w:r>
        <w:rPr>
          <w:w w:val="120"/>
        </w:rPr>
        <w:t>is</w:t>
      </w:r>
      <w:r>
        <w:rPr>
          <w:spacing w:val="-13"/>
          <w:w w:val="120"/>
        </w:rPr>
        <w:t> </w:t>
      </w:r>
      <w:r>
        <w:rPr>
          <w:w w:val="120"/>
        </w:rPr>
        <w:t>that</w:t>
      </w:r>
      <w:r>
        <w:rPr>
          <w:spacing w:val="-14"/>
          <w:w w:val="120"/>
        </w:rPr>
        <w:t> </w:t>
      </w:r>
      <w:r>
        <w:rPr>
          <w:w w:val="120"/>
        </w:rPr>
        <w:t>evictions</w:t>
      </w:r>
      <w:r>
        <w:rPr>
          <w:spacing w:val="-13"/>
          <w:w w:val="120"/>
        </w:rPr>
        <w:t> </w:t>
      </w:r>
      <w:r>
        <w:rPr>
          <w:w w:val="120"/>
        </w:rPr>
        <w:t>cannot, except in extremely limited circumstances, be successful because of the inherent, irreparable harm posed by removing mothers, pregnant women, and children from their homes. Success on the merits of the case in eviction proceedings is an irrelevant inquiry because of the imbalance of harms suffered by evicted tenants.</w:t>
      </w:r>
    </w:p>
    <w:p>
      <w:pPr>
        <w:pStyle w:val="ListParagraph"/>
        <w:numPr>
          <w:ilvl w:val="0"/>
          <w:numId w:val="1"/>
        </w:numPr>
        <w:tabs>
          <w:tab w:pos="648" w:val="left" w:leader="none"/>
        </w:tabs>
        <w:spacing w:line="240" w:lineRule="auto" w:before="8" w:after="0"/>
        <w:ind w:left="648" w:right="0" w:hanging="268"/>
        <w:jc w:val="left"/>
        <w:rPr>
          <w:sz w:val="18"/>
        </w:rPr>
      </w:pPr>
      <w:r>
        <w:rPr>
          <w:i/>
          <w:w w:val="110"/>
          <w:sz w:val="18"/>
        </w:rPr>
        <w:t>Norlund v.</w:t>
      </w:r>
      <w:r>
        <w:rPr>
          <w:i/>
          <w:spacing w:val="1"/>
          <w:w w:val="110"/>
          <w:sz w:val="18"/>
        </w:rPr>
        <w:t> </w:t>
      </w:r>
      <w:r>
        <w:rPr>
          <w:i/>
          <w:w w:val="110"/>
          <w:sz w:val="18"/>
        </w:rPr>
        <w:t>Faust</w:t>
      </w:r>
      <w:r>
        <w:rPr>
          <w:w w:val="110"/>
          <w:sz w:val="18"/>
        </w:rPr>
        <w:t>,</w:t>
      </w:r>
      <w:r>
        <w:rPr>
          <w:spacing w:val="1"/>
          <w:w w:val="110"/>
          <w:sz w:val="18"/>
        </w:rPr>
        <w:t> </w:t>
      </w:r>
      <w:r>
        <w:rPr>
          <w:w w:val="110"/>
          <w:sz w:val="18"/>
        </w:rPr>
        <w:t>675</w:t>
      </w:r>
      <w:r>
        <w:rPr>
          <w:spacing w:val="1"/>
          <w:w w:val="110"/>
          <w:sz w:val="18"/>
        </w:rPr>
        <w:t> </w:t>
      </w:r>
      <w:r>
        <w:rPr>
          <w:spacing w:val="-2"/>
          <w:w w:val="110"/>
          <w:sz w:val="18"/>
        </w:rPr>
        <w:t>N.E.2d</w:t>
      </w:r>
    </w:p>
    <w:p>
      <w:pPr>
        <w:pStyle w:val="BodyText"/>
        <w:spacing w:before="13"/>
        <w:ind w:left="650"/>
      </w:pPr>
      <w:r>
        <w:rPr>
          <w:w w:val="110"/>
        </w:rPr>
        <w:t>1142,</w:t>
      </w:r>
      <w:r>
        <w:rPr>
          <w:spacing w:val="-4"/>
          <w:w w:val="110"/>
        </w:rPr>
        <w:t> </w:t>
      </w:r>
      <w:r>
        <w:rPr>
          <w:w w:val="110"/>
        </w:rPr>
        <w:t>1150</w:t>
      </w:r>
      <w:r>
        <w:rPr>
          <w:spacing w:val="-4"/>
          <w:w w:val="110"/>
        </w:rPr>
        <w:t> </w:t>
      </w:r>
      <w:r>
        <w:rPr>
          <w:w w:val="110"/>
        </w:rPr>
        <w:t>(Ind.</w:t>
      </w:r>
      <w:r>
        <w:rPr>
          <w:spacing w:val="-4"/>
          <w:w w:val="110"/>
        </w:rPr>
        <w:t> </w:t>
      </w:r>
      <w:r>
        <w:rPr>
          <w:w w:val="110"/>
        </w:rPr>
        <w:t>Ct.</w:t>
      </w:r>
      <w:r>
        <w:rPr>
          <w:spacing w:val="-5"/>
          <w:w w:val="110"/>
        </w:rPr>
        <w:t> </w:t>
      </w:r>
      <w:r>
        <w:rPr>
          <w:w w:val="110"/>
        </w:rPr>
        <w:t>App.</w:t>
      </w:r>
      <w:r>
        <w:rPr>
          <w:spacing w:val="-4"/>
          <w:w w:val="110"/>
        </w:rPr>
        <w:t> </w:t>
      </w:r>
      <w:r>
        <w:rPr>
          <w:spacing w:val="-2"/>
          <w:w w:val="110"/>
        </w:rPr>
        <w:t>1997),</w:t>
      </w:r>
    </w:p>
    <w:p>
      <w:pPr>
        <w:spacing w:before="13"/>
        <w:ind w:left="650" w:right="0" w:firstLine="0"/>
        <w:jc w:val="left"/>
        <w:rPr>
          <w:i/>
          <w:sz w:val="18"/>
        </w:rPr>
      </w:pPr>
      <w:r>
        <w:rPr>
          <w:i/>
          <w:w w:val="110"/>
          <w:sz w:val="18"/>
        </w:rPr>
        <w:t>decision</w:t>
      </w:r>
      <w:r>
        <w:rPr>
          <w:i/>
          <w:spacing w:val="5"/>
          <w:w w:val="110"/>
          <w:sz w:val="18"/>
        </w:rPr>
        <w:t> </w:t>
      </w:r>
      <w:r>
        <w:rPr>
          <w:i/>
          <w:w w:val="110"/>
          <w:sz w:val="18"/>
        </w:rPr>
        <w:t>clarified</w:t>
      </w:r>
      <w:r>
        <w:rPr>
          <w:i/>
          <w:spacing w:val="6"/>
          <w:w w:val="110"/>
          <w:sz w:val="18"/>
        </w:rPr>
        <w:t> </w:t>
      </w:r>
      <w:r>
        <w:rPr>
          <w:i/>
          <w:w w:val="110"/>
          <w:sz w:val="18"/>
        </w:rPr>
        <w:t>on</w:t>
      </w:r>
      <w:r>
        <w:rPr>
          <w:i/>
          <w:spacing w:val="6"/>
          <w:w w:val="110"/>
          <w:sz w:val="18"/>
        </w:rPr>
        <w:t> </w:t>
      </w:r>
      <w:r>
        <w:rPr>
          <w:i/>
          <w:w w:val="110"/>
          <w:sz w:val="18"/>
        </w:rPr>
        <w:t>denial</w:t>
      </w:r>
      <w:r>
        <w:rPr>
          <w:i/>
          <w:spacing w:val="6"/>
          <w:w w:val="110"/>
          <w:sz w:val="18"/>
        </w:rPr>
        <w:t> </w:t>
      </w:r>
      <w:r>
        <w:rPr>
          <w:i/>
          <w:spacing w:val="-5"/>
          <w:w w:val="110"/>
          <w:sz w:val="18"/>
        </w:rPr>
        <w:t>of</w:t>
      </w:r>
    </w:p>
    <w:p>
      <w:pPr>
        <w:pStyle w:val="BodyText"/>
        <w:spacing w:before="13"/>
        <w:ind w:left="650"/>
      </w:pPr>
      <w:r>
        <w:rPr>
          <w:i/>
          <w:w w:val="110"/>
        </w:rPr>
        <w:t>reh'g</w:t>
      </w:r>
      <w:r>
        <w:rPr>
          <w:w w:val="110"/>
        </w:rPr>
        <w:t>,</w:t>
      </w:r>
      <w:r>
        <w:rPr>
          <w:spacing w:val="-4"/>
          <w:w w:val="110"/>
        </w:rPr>
        <w:t> </w:t>
      </w:r>
      <w:r>
        <w:rPr>
          <w:w w:val="110"/>
        </w:rPr>
        <w:t>678</w:t>
      </w:r>
      <w:r>
        <w:rPr>
          <w:spacing w:val="-4"/>
          <w:w w:val="110"/>
        </w:rPr>
        <w:t> </w:t>
      </w:r>
      <w:r>
        <w:rPr>
          <w:w w:val="110"/>
        </w:rPr>
        <w:t>N.E.2d</w:t>
      </w:r>
      <w:r>
        <w:rPr>
          <w:spacing w:val="-4"/>
          <w:w w:val="110"/>
        </w:rPr>
        <w:t> </w:t>
      </w:r>
      <w:r>
        <w:rPr>
          <w:w w:val="110"/>
        </w:rPr>
        <w:t>421</w:t>
      </w:r>
      <w:r>
        <w:rPr>
          <w:spacing w:val="-4"/>
          <w:w w:val="110"/>
        </w:rPr>
        <w:t> </w:t>
      </w:r>
      <w:r>
        <w:rPr>
          <w:w w:val="110"/>
        </w:rPr>
        <w:t>(Ind.</w:t>
      </w:r>
      <w:r>
        <w:rPr>
          <w:spacing w:val="-5"/>
          <w:w w:val="110"/>
        </w:rPr>
        <w:t> Ct.</w:t>
      </w:r>
    </w:p>
    <w:p>
      <w:pPr>
        <w:pStyle w:val="BodyText"/>
        <w:spacing w:before="13"/>
        <w:ind w:left="650"/>
      </w:pPr>
      <w:r>
        <w:rPr>
          <w:w w:val="110"/>
        </w:rPr>
        <w:t>App.</w:t>
      </w:r>
      <w:r>
        <w:rPr>
          <w:spacing w:val="-2"/>
          <w:w w:val="110"/>
        </w:rPr>
        <w:t> 1997).</w:t>
      </w:r>
    </w:p>
    <w:p>
      <w:pPr>
        <w:pStyle w:val="ListParagraph"/>
        <w:numPr>
          <w:ilvl w:val="0"/>
          <w:numId w:val="1"/>
        </w:numPr>
        <w:tabs>
          <w:tab w:pos="648" w:val="left" w:leader="none"/>
        </w:tabs>
        <w:spacing w:line="240" w:lineRule="auto" w:before="13" w:after="0"/>
        <w:ind w:left="648" w:right="0" w:hanging="268"/>
        <w:jc w:val="left"/>
        <w:rPr>
          <w:sz w:val="18"/>
        </w:rPr>
      </w:pPr>
      <w:r>
        <w:rPr>
          <w:i/>
          <w:w w:val="115"/>
          <w:sz w:val="18"/>
        </w:rPr>
        <w:t>Id.</w:t>
      </w:r>
      <w:r>
        <w:rPr>
          <w:i/>
          <w:spacing w:val="-4"/>
          <w:w w:val="115"/>
          <w:sz w:val="18"/>
        </w:rPr>
        <w:t> </w:t>
      </w:r>
      <w:r>
        <w:rPr>
          <w:w w:val="115"/>
          <w:sz w:val="18"/>
        </w:rPr>
        <w:t>at</w:t>
      </w:r>
      <w:r>
        <w:rPr>
          <w:spacing w:val="-3"/>
          <w:w w:val="115"/>
          <w:sz w:val="18"/>
        </w:rPr>
        <w:t> </w:t>
      </w:r>
      <w:r>
        <w:rPr>
          <w:spacing w:val="-4"/>
          <w:w w:val="115"/>
          <w:sz w:val="18"/>
        </w:rPr>
        <w:t>1149.</w:t>
      </w:r>
    </w:p>
    <w:p>
      <w:pPr>
        <w:pStyle w:val="ListParagraph"/>
        <w:numPr>
          <w:ilvl w:val="0"/>
          <w:numId w:val="1"/>
        </w:numPr>
        <w:tabs>
          <w:tab w:pos="650" w:val="left" w:leader="none"/>
        </w:tabs>
        <w:spacing w:line="254" w:lineRule="auto" w:before="13" w:after="0"/>
        <w:ind w:left="650" w:right="425" w:hanging="270"/>
        <w:jc w:val="left"/>
        <w:rPr>
          <w:sz w:val="18"/>
        </w:rPr>
      </w:pPr>
      <w:r>
        <w:rPr>
          <w:w w:val="110"/>
          <w:sz w:val="18"/>
        </w:rPr>
        <w:t>Ind.</w:t>
      </w:r>
      <w:r>
        <w:rPr>
          <w:spacing w:val="-10"/>
          <w:w w:val="110"/>
          <w:sz w:val="18"/>
        </w:rPr>
        <w:t> </w:t>
      </w:r>
      <w:r>
        <w:rPr>
          <w:w w:val="110"/>
          <w:sz w:val="18"/>
        </w:rPr>
        <w:t>Code</w:t>
      </w:r>
      <w:r>
        <w:rPr>
          <w:spacing w:val="-10"/>
          <w:w w:val="110"/>
          <w:sz w:val="18"/>
        </w:rPr>
        <w:t> </w:t>
      </w:r>
      <w:r>
        <w:rPr>
          <w:w w:val="110"/>
          <w:sz w:val="18"/>
        </w:rPr>
        <w:t>Ann.</w:t>
      </w:r>
      <w:r>
        <w:rPr>
          <w:spacing w:val="-10"/>
          <w:w w:val="110"/>
          <w:sz w:val="18"/>
        </w:rPr>
        <w:t> </w:t>
      </w:r>
      <w:r>
        <w:rPr>
          <w:w w:val="110"/>
          <w:sz w:val="18"/>
        </w:rPr>
        <w:t>§</w:t>
      </w:r>
      <w:r>
        <w:rPr>
          <w:spacing w:val="-10"/>
          <w:w w:val="110"/>
          <w:sz w:val="18"/>
        </w:rPr>
        <w:t> </w:t>
      </w:r>
      <w:r>
        <w:rPr>
          <w:w w:val="110"/>
          <w:sz w:val="18"/>
        </w:rPr>
        <w:t>32-31-1-6 </w:t>
      </w:r>
      <w:r>
        <w:rPr>
          <w:spacing w:val="-2"/>
          <w:w w:val="115"/>
          <w:sz w:val="18"/>
        </w:rPr>
        <w:t>(West).</w:t>
      </w:r>
    </w:p>
    <w:p>
      <w:pPr>
        <w:pStyle w:val="ListParagraph"/>
        <w:numPr>
          <w:ilvl w:val="0"/>
          <w:numId w:val="1"/>
        </w:numPr>
        <w:tabs>
          <w:tab w:pos="650" w:val="left" w:leader="none"/>
        </w:tabs>
        <w:spacing w:line="254" w:lineRule="auto" w:before="1" w:after="0"/>
        <w:ind w:left="650" w:right="310" w:hanging="270"/>
        <w:jc w:val="left"/>
        <w:rPr>
          <w:sz w:val="18"/>
        </w:rPr>
      </w:pPr>
      <w:r>
        <w:rPr>
          <w:i/>
          <w:w w:val="115"/>
          <w:sz w:val="18"/>
        </w:rPr>
        <w:t>Indiana</w:t>
      </w:r>
      <w:r>
        <w:rPr>
          <w:i/>
          <w:spacing w:val="-2"/>
          <w:w w:val="115"/>
          <w:sz w:val="18"/>
        </w:rPr>
        <w:t> </w:t>
      </w:r>
      <w:r>
        <w:rPr>
          <w:i/>
          <w:w w:val="115"/>
          <w:sz w:val="18"/>
        </w:rPr>
        <w:t>Fam.</w:t>
      </w:r>
      <w:r>
        <w:rPr>
          <w:i/>
          <w:spacing w:val="-2"/>
          <w:w w:val="115"/>
          <w:sz w:val="18"/>
        </w:rPr>
        <w:t> </w:t>
      </w:r>
      <w:r>
        <w:rPr>
          <w:i/>
          <w:w w:val="115"/>
          <w:sz w:val="18"/>
        </w:rPr>
        <w:t>&amp;</w:t>
      </w:r>
      <w:r>
        <w:rPr>
          <w:i/>
          <w:spacing w:val="-2"/>
          <w:w w:val="115"/>
          <w:sz w:val="18"/>
        </w:rPr>
        <w:t> </w:t>
      </w:r>
      <w:r>
        <w:rPr>
          <w:i/>
          <w:w w:val="115"/>
          <w:sz w:val="18"/>
        </w:rPr>
        <w:t>Soc.</w:t>
      </w:r>
      <w:r>
        <w:rPr>
          <w:i/>
          <w:spacing w:val="-2"/>
          <w:w w:val="115"/>
          <w:sz w:val="18"/>
        </w:rPr>
        <w:t> </w:t>
      </w:r>
      <w:r>
        <w:rPr>
          <w:i/>
          <w:w w:val="115"/>
          <w:sz w:val="18"/>
        </w:rPr>
        <w:t>Servs. </w:t>
      </w:r>
      <w:r>
        <w:rPr>
          <w:i/>
          <w:spacing w:val="-2"/>
          <w:w w:val="115"/>
          <w:sz w:val="18"/>
        </w:rPr>
        <w:t>Admin.</w:t>
      </w:r>
      <w:r>
        <w:rPr>
          <w:i/>
          <w:spacing w:val="-11"/>
          <w:w w:val="115"/>
          <w:sz w:val="18"/>
        </w:rPr>
        <w:t> </w:t>
      </w:r>
      <w:r>
        <w:rPr>
          <w:i/>
          <w:spacing w:val="-2"/>
          <w:w w:val="115"/>
          <w:sz w:val="18"/>
        </w:rPr>
        <w:t>v.</w:t>
      </w:r>
      <w:r>
        <w:rPr>
          <w:i/>
          <w:spacing w:val="-11"/>
          <w:w w:val="115"/>
          <w:sz w:val="18"/>
        </w:rPr>
        <w:t> </w:t>
      </w:r>
      <w:r>
        <w:rPr>
          <w:i/>
          <w:spacing w:val="-2"/>
          <w:w w:val="115"/>
          <w:sz w:val="18"/>
        </w:rPr>
        <w:t>Walgreen</w:t>
      </w:r>
      <w:r>
        <w:rPr>
          <w:i/>
          <w:spacing w:val="-11"/>
          <w:w w:val="115"/>
          <w:sz w:val="18"/>
        </w:rPr>
        <w:t> </w:t>
      </w:r>
      <w:r>
        <w:rPr>
          <w:i/>
          <w:spacing w:val="-2"/>
          <w:w w:val="115"/>
          <w:sz w:val="18"/>
        </w:rPr>
        <w:t>Co.</w:t>
      </w:r>
      <w:r>
        <w:rPr>
          <w:spacing w:val="-2"/>
          <w:w w:val="115"/>
          <w:sz w:val="18"/>
        </w:rPr>
        <w:t>,</w:t>
      </w:r>
      <w:r>
        <w:rPr>
          <w:spacing w:val="-11"/>
          <w:w w:val="115"/>
          <w:sz w:val="18"/>
        </w:rPr>
        <w:t> </w:t>
      </w:r>
      <w:r>
        <w:rPr>
          <w:spacing w:val="-2"/>
          <w:w w:val="115"/>
          <w:sz w:val="18"/>
        </w:rPr>
        <w:t>769 </w:t>
      </w:r>
      <w:r>
        <w:rPr>
          <w:w w:val="110"/>
          <w:sz w:val="18"/>
        </w:rPr>
        <w:t>N.E.2d</w:t>
      </w:r>
      <w:r>
        <w:rPr>
          <w:spacing w:val="-2"/>
          <w:w w:val="110"/>
          <w:sz w:val="18"/>
        </w:rPr>
        <w:t> </w:t>
      </w:r>
      <w:r>
        <w:rPr>
          <w:w w:val="110"/>
          <w:sz w:val="18"/>
        </w:rPr>
        <w:t>158,</w:t>
      </w:r>
      <w:r>
        <w:rPr>
          <w:spacing w:val="-2"/>
          <w:w w:val="110"/>
          <w:sz w:val="18"/>
        </w:rPr>
        <w:t> </w:t>
      </w:r>
      <w:r>
        <w:rPr>
          <w:w w:val="110"/>
          <w:sz w:val="18"/>
        </w:rPr>
        <w:t>161</w:t>
      </w:r>
      <w:r>
        <w:rPr>
          <w:spacing w:val="-3"/>
          <w:w w:val="110"/>
          <w:sz w:val="18"/>
        </w:rPr>
        <w:t> </w:t>
      </w:r>
      <w:r>
        <w:rPr>
          <w:w w:val="110"/>
          <w:sz w:val="18"/>
        </w:rPr>
        <w:t>(Ind.</w:t>
      </w:r>
      <w:r>
        <w:rPr>
          <w:spacing w:val="-3"/>
          <w:w w:val="110"/>
          <w:sz w:val="18"/>
        </w:rPr>
        <w:t> </w:t>
      </w:r>
      <w:r>
        <w:rPr>
          <w:w w:val="110"/>
          <w:sz w:val="18"/>
        </w:rPr>
        <w:t>2002).</w:t>
      </w:r>
    </w:p>
    <w:p>
      <w:pPr>
        <w:spacing w:line="254" w:lineRule="auto" w:before="90"/>
        <w:ind w:left="380" w:right="132" w:firstLine="0"/>
        <w:jc w:val="left"/>
        <w:rPr>
          <w:sz w:val="18"/>
        </w:rPr>
      </w:pPr>
      <w:r>
        <w:rPr/>
        <w:br w:type="column"/>
      </w:r>
      <w:r>
        <w:rPr>
          <w:i/>
          <w:w w:val="110"/>
          <w:sz w:val="18"/>
        </w:rPr>
        <w:t>see</w:t>
      </w:r>
      <w:r>
        <w:rPr>
          <w:w w:val="110"/>
          <w:sz w:val="18"/>
        </w:rPr>
        <w:t>,</w:t>
      </w:r>
      <w:r>
        <w:rPr>
          <w:spacing w:val="-11"/>
          <w:w w:val="110"/>
          <w:sz w:val="18"/>
        </w:rPr>
        <w:t> </w:t>
      </w:r>
      <w:r>
        <w:rPr>
          <w:w w:val="110"/>
          <w:sz w:val="18"/>
        </w:rPr>
        <w:t>e.g.,</w:t>
      </w:r>
      <w:r>
        <w:rPr>
          <w:spacing w:val="-12"/>
          <w:w w:val="110"/>
          <w:sz w:val="18"/>
        </w:rPr>
        <w:t> </w:t>
      </w:r>
      <w:r>
        <w:rPr>
          <w:i/>
          <w:w w:val="110"/>
          <w:sz w:val="18"/>
        </w:rPr>
        <w:t>Ind.</w:t>
      </w:r>
      <w:r>
        <w:rPr>
          <w:i/>
          <w:spacing w:val="-12"/>
          <w:w w:val="110"/>
          <w:sz w:val="18"/>
        </w:rPr>
        <w:t> </w:t>
      </w:r>
      <w:r>
        <w:rPr>
          <w:i/>
          <w:w w:val="110"/>
          <w:sz w:val="18"/>
        </w:rPr>
        <w:t>Family</w:t>
      </w:r>
      <w:r>
        <w:rPr>
          <w:i/>
          <w:spacing w:val="-11"/>
          <w:w w:val="110"/>
          <w:sz w:val="18"/>
        </w:rPr>
        <w:t> </w:t>
      </w:r>
      <w:r>
        <w:rPr>
          <w:i/>
          <w:w w:val="110"/>
          <w:sz w:val="18"/>
        </w:rPr>
        <w:t>&amp;</w:t>
      </w:r>
      <w:r>
        <w:rPr>
          <w:i/>
          <w:spacing w:val="-12"/>
          <w:w w:val="110"/>
          <w:sz w:val="18"/>
        </w:rPr>
        <w:t> </w:t>
      </w:r>
      <w:r>
        <w:rPr>
          <w:i/>
          <w:w w:val="110"/>
          <w:sz w:val="18"/>
        </w:rPr>
        <w:t>Social </w:t>
      </w:r>
      <w:r>
        <w:rPr>
          <w:i/>
          <w:w w:val="115"/>
          <w:sz w:val="18"/>
        </w:rPr>
        <w:t>Servs. Admin. v. Legacy Healthcare,</w:t>
      </w:r>
      <w:r>
        <w:rPr>
          <w:i/>
          <w:spacing w:val="-13"/>
          <w:w w:val="115"/>
          <w:sz w:val="18"/>
        </w:rPr>
        <w:t> </w:t>
      </w:r>
      <w:r>
        <w:rPr>
          <w:i/>
          <w:w w:val="115"/>
          <w:sz w:val="18"/>
        </w:rPr>
        <w:t>Inc</w:t>
      </w:r>
      <w:r>
        <w:rPr>
          <w:w w:val="115"/>
          <w:sz w:val="18"/>
        </w:rPr>
        <w:t>.,</w:t>
      </w:r>
      <w:r>
        <w:rPr>
          <w:spacing w:val="-13"/>
          <w:w w:val="115"/>
          <w:sz w:val="18"/>
        </w:rPr>
        <w:t> </w:t>
      </w:r>
      <w:r>
        <w:rPr>
          <w:w w:val="115"/>
          <w:sz w:val="18"/>
        </w:rPr>
        <w:t>756</w:t>
      </w:r>
      <w:r>
        <w:rPr>
          <w:spacing w:val="-13"/>
          <w:w w:val="115"/>
          <w:sz w:val="18"/>
        </w:rPr>
        <w:t> </w:t>
      </w:r>
      <w:r>
        <w:rPr>
          <w:w w:val="115"/>
          <w:sz w:val="18"/>
        </w:rPr>
        <w:t>N.E.2d 567, 571–72 (Ind. Ct. App.</w:t>
      </w:r>
    </w:p>
    <w:p>
      <w:pPr>
        <w:spacing w:line="254" w:lineRule="auto" w:before="3"/>
        <w:ind w:left="380" w:right="0" w:firstLine="0"/>
        <w:jc w:val="left"/>
        <w:rPr>
          <w:sz w:val="18"/>
        </w:rPr>
      </w:pPr>
      <w:r>
        <w:rPr>
          <w:w w:val="110"/>
          <w:sz w:val="18"/>
        </w:rPr>
        <w:t>2001);</w:t>
      </w:r>
      <w:r>
        <w:rPr>
          <w:spacing w:val="-6"/>
          <w:w w:val="110"/>
          <w:sz w:val="18"/>
        </w:rPr>
        <w:t> </w:t>
      </w:r>
      <w:r>
        <w:rPr>
          <w:i/>
          <w:w w:val="110"/>
          <w:sz w:val="18"/>
        </w:rPr>
        <w:t>Jay</w:t>
      </w:r>
      <w:r>
        <w:rPr>
          <w:i/>
          <w:spacing w:val="-5"/>
          <w:w w:val="110"/>
          <w:sz w:val="18"/>
        </w:rPr>
        <w:t> </w:t>
      </w:r>
      <w:r>
        <w:rPr>
          <w:i/>
          <w:w w:val="110"/>
          <w:sz w:val="18"/>
        </w:rPr>
        <w:t>County</w:t>
      </w:r>
      <w:r>
        <w:rPr>
          <w:i/>
          <w:spacing w:val="-5"/>
          <w:w w:val="110"/>
          <w:sz w:val="18"/>
        </w:rPr>
        <w:t> </w:t>
      </w:r>
      <w:r>
        <w:rPr>
          <w:i/>
          <w:w w:val="110"/>
          <w:sz w:val="18"/>
        </w:rPr>
        <w:t>Rural</w:t>
      </w:r>
      <w:r>
        <w:rPr>
          <w:i/>
          <w:spacing w:val="-6"/>
          <w:w w:val="110"/>
          <w:sz w:val="18"/>
        </w:rPr>
        <w:t> </w:t>
      </w:r>
      <w:r>
        <w:rPr>
          <w:i/>
          <w:w w:val="110"/>
          <w:sz w:val="18"/>
        </w:rPr>
        <w:t>Elec. </w:t>
      </w:r>
      <w:r>
        <w:rPr>
          <w:i/>
          <w:spacing w:val="-2"/>
          <w:w w:val="115"/>
          <w:sz w:val="18"/>
        </w:rPr>
        <w:t>Membership</w:t>
      </w:r>
      <w:r>
        <w:rPr>
          <w:i/>
          <w:spacing w:val="-11"/>
          <w:w w:val="115"/>
          <w:sz w:val="18"/>
        </w:rPr>
        <w:t> </w:t>
      </w:r>
      <w:r>
        <w:rPr>
          <w:i/>
          <w:spacing w:val="-2"/>
          <w:w w:val="115"/>
          <w:sz w:val="18"/>
        </w:rPr>
        <w:t>Corp.</w:t>
      </w:r>
      <w:r>
        <w:rPr>
          <w:i/>
          <w:spacing w:val="-11"/>
          <w:w w:val="115"/>
          <w:sz w:val="18"/>
        </w:rPr>
        <w:t> </w:t>
      </w:r>
      <w:r>
        <w:rPr>
          <w:i/>
          <w:spacing w:val="-2"/>
          <w:w w:val="115"/>
          <w:sz w:val="18"/>
        </w:rPr>
        <w:t>v.</w:t>
      </w:r>
      <w:r>
        <w:rPr>
          <w:i/>
          <w:spacing w:val="-11"/>
          <w:w w:val="115"/>
          <w:sz w:val="18"/>
        </w:rPr>
        <w:t> </w:t>
      </w:r>
      <w:r>
        <w:rPr>
          <w:i/>
          <w:spacing w:val="-2"/>
          <w:w w:val="115"/>
          <w:sz w:val="18"/>
        </w:rPr>
        <w:t>Wabash </w:t>
      </w:r>
      <w:r>
        <w:rPr>
          <w:i/>
          <w:w w:val="115"/>
          <w:sz w:val="18"/>
        </w:rPr>
        <w:t>Valley</w:t>
      </w:r>
      <w:r>
        <w:rPr>
          <w:i/>
          <w:spacing w:val="-12"/>
          <w:w w:val="115"/>
          <w:sz w:val="18"/>
        </w:rPr>
        <w:t> </w:t>
      </w:r>
      <w:r>
        <w:rPr>
          <w:i/>
          <w:w w:val="115"/>
          <w:sz w:val="18"/>
        </w:rPr>
        <w:t>Power</w:t>
      </w:r>
      <w:r>
        <w:rPr>
          <w:i/>
          <w:spacing w:val="-12"/>
          <w:w w:val="115"/>
          <w:sz w:val="18"/>
        </w:rPr>
        <w:t> </w:t>
      </w:r>
      <w:r>
        <w:rPr>
          <w:i/>
          <w:w w:val="115"/>
          <w:sz w:val="18"/>
        </w:rPr>
        <w:t>Ass'n,</w:t>
      </w:r>
      <w:r>
        <w:rPr>
          <w:i/>
          <w:spacing w:val="-12"/>
          <w:w w:val="115"/>
          <w:sz w:val="18"/>
        </w:rPr>
        <w:t> </w:t>
      </w:r>
      <w:r>
        <w:rPr>
          <w:i/>
          <w:w w:val="115"/>
          <w:sz w:val="18"/>
        </w:rPr>
        <w:t>Inc.</w:t>
      </w:r>
      <w:r>
        <w:rPr>
          <w:w w:val="115"/>
          <w:sz w:val="18"/>
        </w:rPr>
        <w:t>,</w:t>
      </w:r>
      <w:r>
        <w:rPr>
          <w:spacing w:val="-12"/>
          <w:w w:val="115"/>
          <w:sz w:val="18"/>
        </w:rPr>
        <w:t> </w:t>
      </w:r>
      <w:r>
        <w:rPr>
          <w:w w:val="115"/>
          <w:sz w:val="18"/>
        </w:rPr>
        <w:t>692 N.E.2d 905, 909 (Ind. Ct.</w:t>
      </w:r>
    </w:p>
    <w:p>
      <w:pPr>
        <w:spacing w:line="254" w:lineRule="auto" w:before="2"/>
        <w:ind w:left="380" w:right="132" w:firstLine="0"/>
        <w:jc w:val="left"/>
        <w:rPr>
          <w:sz w:val="18"/>
        </w:rPr>
      </w:pPr>
      <w:r>
        <w:rPr>
          <w:w w:val="110"/>
          <w:sz w:val="18"/>
        </w:rPr>
        <w:t>App.</w:t>
      </w:r>
      <w:r>
        <w:rPr>
          <w:spacing w:val="-13"/>
          <w:w w:val="110"/>
          <w:sz w:val="18"/>
        </w:rPr>
        <w:t> </w:t>
      </w:r>
      <w:r>
        <w:rPr>
          <w:w w:val="110"/>
          <w:sz w:val="18"/>
        </w:rPr>
        <w:t>1998);</w:t>
      </w:r>
      <w:r>
        <w:rPr>
          <w:spacing w:val="-12"/>
          <w:w w:val="110"/>
          <w:sz w:val="18"/>
        </w:rPr>
        <w:t> </w:t>
      </w:r>
      <w:r>
        <w:rPr>
          <w:i/>
          <w:w w:val="110"/>
          <w:sz w:val="18"/>
        </w:rPr>
        <w:t>Xantech</w:t>
      </w:r>
      <w:r>
        <w:rPr>
          <w:i/>
          <w:spacing w:val="-13"/>
          <w:w w:val="110"/>
          <w:sz w:val="18"/>
        </w:rPr>
        <w:t> </w:t>
      </w:r>
      <w:r>
        <w:rPr>
          <w:i/>
          <w:w w:val="110"/>
          <w:sz w:val="18"/>
        </w:rPr>
        <w:t>Corp.</w:t>
      </w:r>
      <w:r>
        <w:rPr>
          <w:w w:val="110"/>
          <w:sz w:val="18"/>
        </w:rPr>
        <w:t>, 643</w:t>
      </w:r>
      <w:r>
        <w:rPr>
          <w:spacing w:val="1"/>
          <w:w w:val="110"/>
          <w:sz w:val="18"/>
        </w:rPr>
        <w:t> </w:t>
      </w:r>
      <w:r>
        <w:rPr>
          <w:w w:val="110"/>
          <w:sz w:val="18"/>
        </w:rPr>
        <w:t>N.E.2d</w:t>
      </w:r>
      <w:r>
        <w:rPr>
          <w:spacing w:val="3"/>
          <w:w w:val="110"/>
          <w:sz w:val="18"/>
        </w:rPr>
        <w:t> </w:t>
      </w:r>
      <w:r>
        <w:rPr>
          <w:w w:val="110"/>
          <w:sz w:val="18"/>
        </w:rPr>
        <w:t>at</w:t>
      </w:r>
      <w:r>
        <w:rPr>
          <w:spacing w:val="3"/>
          <w:w w:val="110"/>
          <w:sz w:val="18"/>
        </w:rPr>
        <w:t> </w:t>
      </w:r>
      <w:r>
        <w:rPr>
          <w:w w:val="110"/>
          <w:sz w:val="18"/>
        </w:rPr>
        <w:t>921</w:t>
      </w:r>
      <w:r>
        <w:rPr>
          <w:spacing w:val="2"/>
          <w:w w:val="110"/>
          <w:sz w:val="18"/>
        </w:rPr>
        <w:t> </w:t>
      </w:r>
      <w:r>
        <w:rPr>
          <w:w w:val="110"/>
          <w:sz w:val="18"/>
        </w:rPr>
        <w:t>(Ind.</w:t>
      </w:r>
      <w:r>
        <w:rPr>
          <w:spacing w:val="1"/>
          <w:w w:val="110"/>
          <w:sz w:val="18"/>
        </w:rPr>
        <w:t> </w:t>
      </w:r>
      <w:r>
        <w:rPr>
          <w:spacing w:val="-5"/>
          <w:w w:val="110"/>
          <w:sz w:val="18"/>
        </w:rPr>
        <w:t>Ct.</w:t>
      </w:r>
    </w:p>
    <w:p>
      <w:pPr>
        <w:spacing w:line="254" w:lineRule="auto" w:before="1"/>
        <w:ind w:left="380" w:right="314" w:firstLine="0"/>
        <w:jc w:val="both"/>
        <w:rPr>
          <w:sz w:val="18"/>
        </w:rPr>
      </w:pPr>
      <w:r>
        <w:rPr>
          <w:w w:val="110"/>
          <w:sz w:val="18"/>
        </w:rPr>
        <w:t>App.</w:t>
      </w:r>
      <w:r>
        <w:rPr>
          <w:spacing w:val="-6"/>
          <w:w w:val="110"/>
          <w:sz w:val="18"/>
        </w:rPr>
        <w:t> </w:t>
      </w:r>
      <w:r>
        <w:rPr>
          <w:w w:val="110"/>
          <w:sz w:val="18"/>
        </w:rPr>
        <w:t>1994);</w:t>
      </w:r>
      <w:r>
        <w:rPr>
          <w:spacing w:val="-5"/>
          <w:w w:val="110"/>
          <w:sz w:val="18"/>
        </w:rPr>
        <w:t> </w:t>
      </w:r>
      <w:r>
        <w:rPr>
          <w:i/>
          <w:w w:val="110"/>
          <w:sz w:val="18"/>
        </w:rPr>
        <w:t>Ind.</w:t>
      </w:r>
      <w:r>
        <w:rPr>
          <w:i/>
          <w:spacing w:val="-6"/>
          <w:w w:val="110"/>
          <w:sz w:val="18"/>
        </w:rPr>
        <w:t> </w:t>
      </w:r>
      <w:r>
        <w:rPr>
          <w:i/>
          <w:w w:val="110"/>
          <w:sz w:val="18"/>
        </w:rPr>
        <w:t>State</w:t>
      </w:r>
      <w:r>
        <w:rPr>
          <w:i/>
          <w:spacing w:val="-6"/>
          <w:w w:val="110"/>
          <w:sz w:val="18"/>
        </w:rPr>
        <w:t> </w:t>
      </w:r>
      <w:r>
        <w:rPr>
          <w:i/>
          <w:w w:val="110"/>
          <w:sz w:val="18"/>
        </w:rPr>
        <w:t>Dept. of</w:t>
      </w:r>
      <w:r>
        <w:rPr>
          <w:i/>
          <w:spacing w:val="-5"/>
          <w:w w:val="110"/>
          <w:sz w:val="18"/>
        </w:rPr>
        <w:t> </w:t>
      </w:r>
      <w:r>
        <w:rPr>
          <w:i/>
          <w:w w:val="110"/>
          <w:sz w:val="18"/>
        </w:rPr>
        <w:t>Welfare,</w:t>
      </w:r>
      <w:r>
        <w:rPr>
          <w:i/>
          <w:spacing w:val="-5"/>
          <w:w w:val="110"/>
          <w:sz w:val="18"/>
        </w:rPr>
        <w:t> </w:t>
      </w:r>
      <w:r>
        <w:rPr>
          <w:i/>
          <w:w w:val="110"/>
          <w:sz w:val="18"/>
        </w:rPr>
        <w:t>Medicaid</w:t>
      </w:r>
      <w:r>
        <w:rPr>
          <w:i/>
          <w:spacing w:val="-6"/>
          <w:w w:val="110"/>
          <w:sz w:val="18"/>
        </w:rPr>
        <w:t> </w:t>
      </w:r>
      <w:r>
        <w:rPr>
          <w:i/>
          <w:w w:val="110"/>
          <w:sz w:val="18"/>
        </w:rPr>
        <w:t>Div.</w:t>
      </w:r>
      <w:r>
        <w:rPr>
          <w:i/>
          <w:spacing w:val="-6"/>
          <w:w w:val="110"/>
          <w:sz w:val="18"/>
        </w:rPr>
        <w:t> </w:t>
      </w:r>
      <w:r>
        <w:rPr>
          <w:i/>
          <w:w w:val="110"/>
          <w:sz w:val="18"/>
        </w:rPr>
        <w:t>v. Stagner</w:t>
      </w:r>
      <w:r>
        <w:rPr>
          <w:w w:val="110"/>
          <w:sz w:val="18"/>
        </w:rPr>
        <w:t>, 410 N.E.2d 1348,</w:t>
      </w:r>
    </w:p>
    <w:p>
      <w:pPr>
        <w:pStyle w:val="BodyText"/>
        <w:spacing w:before="2"/>
        <w:ind w:left="380"/>
        <w:jc w:val="both"/>
      </w:pPr>
      <w:r>
        <w:rPr>
          <w:w w:val="110"/>
        </w:rPr>
        <w:t>1352–53</w:t>
      </w:r>
      <w:r>
        <w:rPr>
          <w:spacing w:val="-5"/>
          <w:w w:val="110"/>
        </w:rPr>
        <w:t> </w:t>
      </w:r>
      <w:r>
        <w:rPr>
          <w:w w:val="110"/>
        </w:rPr>
        <w:t>(Ind.</w:t>
      </w:r>
      <w:r>
        <w:rPr>
          <w:spacing w:val="-5"/>
          <w:w w:val="110"/>
        </w:rPr>
        <w:t> </w:t>
      </w:r>
      <w:r>
        <w:rPr>
          <w:w w:val="110"/>
        </w:rPr>
        <w:t>Ct.</w:t>
      </w:r>
      <w:r>
        <w:rPr>
          <w:spacing w:val="-4"/>
          <w:w w:val="110"/>
        </w:rPr>
        <w:t> </w:t>
      </w:r>
      <w:r>
        <w:rPr>
          <w:w w:val="110"/>
        </w:rPr>
        <w:t>App.</w:t>
      </w:r>
      <w:r>
        <w:rPr>
          <w:spacing w:val="-5"/>
          <w:w w:val="110"/>
        </w:rPr>
        <w:t> </w:t>
      </w:r>
      <w:r>
        <w:rPr>
          <w:spacing w:val="-2"/>
          <w:w w:val="110"/>
        </w:rPr>
        <w:t>1980)</w:t>
      </w:r>
    </w:p>
    <w:p>
      <w:pPr>
        <w:pStyle w:val="BodyText"/>
        <w:spacing w:before="13"/>
        <w:ind w:left="380"/>
        <w:jc w:val="both"/>
      </w:pPr>
      <w:r>
        <w:rPr>
          <w:w w:val="115"/>
        </w:rPr>
        <w:t>(citation</w:t>
      </w:r>
      <w:r>
        <w:rPr>
          <w:spacing w:val="9"/>
          <w:w w:val="115"/>
        </w:rPr>
        <w:t> </w:t>
      </w:r>
      <w:r>
        <w:rPr>
          <w:spacing w:val="-2"/>
          <w:w w:val="115"/>
        </w:rPr>
        <w:t>omitted).</w:t>
      </w:r>
    </w:p>
    <w:p>
      <w:pPr>
        <w:pStyle w:val="ListParagraph"/>
        <w:numPr>
          <w:ilvl w:val="0"/>
          <w:numId w:val="1"/>
        </w:numPr>
        <w:tabs>
          <w:tab w:pos="380" w:val="left" w:leader="none"/>
        </w:tabs>
        <w:spacing w:line="254" w:lineRule="auto" w:before="13" w:after="0"/>
        <w:ind w:left="380" w:right="38" w:hanging="270"/>
        <w:jc w:val="left"/>
        <w:rPr>
          <w:i/>
          <w:sz w:val="18"/>
        </w:rPr>
      </w:pPr>
      <w:r>
        <w:rPr>
          <w:w w:val="115"/>
          <w:sz w:val="18"/>
        </w:rPr>
        <w:t>Kathryn M. Leifheit et al., </w:t>
      </w:r>
      <w:r>
        <w:rPr>
          <w:i/>
          <w:w w:val="115"/>
          <w:sz w:val="18"/>
        </w:rPr>
        <w:t>Severe Housing Insecurity </w:t>
      </w:r>
      <w:r>
        <w:rPr>
          <w:i/>
          <w:spacing w:val="-2"/>
          <w:w w:val="115"/>
          <w:sz w:val="18"/>
        </w:rPr>
        <w:t>during</w:t>
      </w:r>
      <w:r>
        <w:rPr>
          <w:i/>
          <w:spacing w:val="-11"/>
          <w:w w:val="115"/>
          <w:sz w:val="18"/>
        </w:rPr>
        <w:t> </w:t>
      </w:r>
      <w:r>
        <w:rPr>
          <w:i/>
          <w:spacing w:val="-2"/>
          <w:w w:val="115"/>
          <w:sz w:val="18"/>
        </w:rPr>
        <w:t>Pregnancy:</w:t>
      </w:r>
      <w:r>
        <w:rPr>
          <w:i/>
          <w:spacing w:val="-11"/>
          <w:w w:val="115"/>
          <w:sz w:val="18"/>
        </w:rPr>
        <w:t> </w:t>
      </w:r>
      <w:r>
        <w:rPr>
          <w:i/>
          <w:spacing w:val="-2"/>
          <w:w w:val="115"/>
          <w:sz w:val="18"/>
        </w:rPr>
        <w:t>Association </w:t>
      </w:r>
      <w:r>
        <w:rPr>
          <w:i/>
          <w:w w:val="115"/>
          <w:sz w:val="18"/>
        </w:rPr>
        <w:t>with Adverse Birth and</w:t>
      </w:r>
    </w:p>
    <w:p>
      <w:pPr>
        <w:pStyle w:val="BodyText"/>
        <w:spacing w:line="254" w:lineRule="auto" w:before="2"/>
        <w:ind w:left="380" w:right="227"/>
      </w:pPr>
      <w:r>
        <w:rPr>
          <w:i/>
          <w:w w:val="115"/>
        </w:rPr>
        <w:t>Infant Outcomes</w:t>
      </w:r>
      <w:r>
        <w:rPr>
          <w:w w:val="115"/>
        </w:rPr>
        <w:t>, 17 Int. J. of</w:t>
      </w:r>
      <w:r>
        <w:rPr>
          <w:spacing w:val="-9"/>
          <w:w w:val="115"/>
        </w:rPr>
        <w:t> </w:t>
      </w:r>
      <w:r>
        <w:rPr>
          <w:w w:val="115"/>
        </w:rPr>
        <w:t>Environmental</w:t>
      </w:r>
      <w:r>
        <w:rPr>
          <w:spacing w:val="-9"/>
          <w:w w:val="115"/>
        </w:rPr>
        <w:t> </w:t>
      </w:r>
      <w:r>
        <w:rPr>
          <w:w w:val="115"/>
        </w:rPr>
        <w:t>Res.</w:t>
      </w:r>
      <w:r>
        <w:rPr>
          <w:spacing w:val="-9"/>
          <w:w w:val="115"/>
        </w:rPr>
        <w:t> </w:t>
      </w:r>
      <w:r>
        <w:rPr>
          <w:w w:val="115"/>
        </w:rPr>
        <w:t>And Public Health 1, 2 (2020),</w:t>
      </w:r>
    </w:p>
    <w:p>
      <w:pPr>
        <w:pStyle w:val="BodyText"/>
        <w:spacing w:before="2"/>
        <w:ind w:left="380"/>
      </w:pPr>
      <w:r>
        <w:rPr>
          <w:spacing w:val="-2"/>
          <w:w w:val="115"/>
        </w:rPr>
        <w:t>doi:10.3390/ijerph17228659.</w:t>
      </w:r>
    </w:p>
    <w:p>
      <w:pPr>
        <w:pStyle w:val="ListParagraph"/>
        <w:numPr>
          <w:ilvl w:val="0"/>
          <w:numId w:val="1"/>
        </w:numPr>
        <w:tabs>
          <w:tab w:pos="378" w:val="left" w:leader="none"/>
        </w:tabs>
        <w:spacing w:line="240" w:lineRule="auto" w:before="13" w:after="0"/>
        <w:ind w:left="378" w:right="0" w:hanging="268"/>
        <w:jc w:val="left"/>
        <w:rPr>
          <w:i/>
          <w:sz w:val="18"/>
        </w:rPr>
      </w:pPr>
      <w:r>
        <w:rPr>
          <w:i/>
          <w:spacing w:val="-5"/>
          <w:w w:val="115"/>
          <w:sz w:val="18"/>
        </w:rPr>
        <w:t>Id.</w:t>
      </w:r>
    </w:p>
    <w:p>
      <w:pPr>
        <w:pStyle w:val="ListParagraph"/>
        <w:numPr>
          <w:ilvl w:val="0"/>
          <w:numId w:val="1"/>
        </w:numPr>
        <w:tabs>
          <w:tab w:pos="379" w:val="left" w:leader="none"/>
        </w:tabs>
        <w:spacing w:line="240" w:lineRule="auto" w:before="13" w:after="0"/>
        <w:ind w:left="379" w:right="0" w:hanging="269"/>
        <w:jc w:val="left"/>
        <w:rPr>
          <w:sz w:val="18"/>
        </w:rPr>
      </w:pPr>
      <w:r>
        <w:rPr>
          <w:w w:val="115"/>
          <w:sz w:val="18"/>
        </w:rPr>
        <w:t>Matthew</w:t>
      </w:r>
      <w:r>
        <w:rPr>
          <w:spacing w:val="5"/>
          <w:w w:val="115"/>
          <w:sz w:val="18"/>
        </w:rPr>
        <w:t> </w:t>
      </w:r>
      <w:r>
        <w:rPr>
          <w:w w:val="115"/>
          <w:sz w:val="18"/>
        </w:rPr>
        <w:t>Desmond</w:t>
      </w:r>
      <w:r>
        <w:rPr>
          <w:spacing w:val="5"/>
          <w:w w:val="115"/>
          <w:sz w:val="18"/>
        </w:rPr>
        <w:t> </w:t>
      </w:r>
      <w:r>
        <w:rPr>
          <w:w w:val="115"/>
          <w:sz w:val="18"/>
        </w:rPr>
        <w:t>et</w:t>
      </w:r>
      <w:r>
        <w:rPr>
          <w:spacing w:val="5"/>
          <w:w w:val="115"/>
          <w:sz w:val="18"/>
        </w:rPr>
        <w:t> </w:t>
      </w:r>
      <w:r>
        <w:rPr>
          <w:spacing w:val="-4"/>
          <w:w w:val="115"/>
          <w:sz w:val="18"/>
        </w:rPr>
        <w:t>al.,</w:t>
      </w:r>
    </w:p>
    <w:p>
      <w:pPr>
        <w:spacing w:line="254" w:lineRule="auto" w:before="90"/>
        <w:ind w:left="380" w:right="839" w:firstLine="0"/>
        <w:jc w:val="both"/>
        <w:rPr>
          <w:sz w:val="18"/>
        </w:rPr>
      </w:pPr>
      <w:r>
        <w:rPr/>
        <w:br w:type="column"/>
      </w:r>
      <w:r>
        <w:rPr>
          <w:i/>
          <w:w w:val="110"/>
          <w:sz w:val="18"/>
        </w:rPr>
        <w:t>Evicting</w:t>
      </w:r>
      <w:r>
        <w:rPr>
          <w:i/>
          <w:spacing w:val="-11"/>
          <w:w w:val="110"/>
          <w:sz w:val="18"/>
        </w:rPr>
        <w:t> </w:t>
      </w:r>
      <w:r>
        <w:rPr>
          <w:i/>
          <w:w w:val="110"/>
          <w:sz w:val="18"/>
        </w:rPr>
        <w:t>Children</w:t>
      </w:r>
      <w:r>
        <w:rPr>
          <w:w w:val="110"/>
          <w:sz w:val="18"/>
        </w:rPr>
        <w:t>,</w:t>
      </w:r>
      <w:r>
        <w:rPr>
          <w:spacing w:val="-10"/>
          <w:w w:val="110"/>
          <w:sz w:val="18"/>
        </w:rPr>
        <w:t> </w:t>
      </w:r>
      <w:r>
        <w:rPr>
          <w:w w:val="110"/>
          <w:sz w:val="18"/>
        </w:rPr>
        <w:t>92</w:t>
      </w:r>
      <w:r>
        <w:rPr>
          <w:spacing w:val="-11"/>
          <w:w w:val="110"/>
          <w:sz w:val="18"/>
        </w:rPr>
        <w:t> </w:t>
      </w:r>
      <w:r>
        <w:rPr>
          <w:w w:val="110"/>
          <w:sz w:val="18"/>
        </w:rPr>
        <w:t>Social Forces</w:t>
      </w:r>
      <w:r>
        <w:rPr>
          <w:spacing w:val="-8"/>
          <w:w w:val="110"/>
          <w:sz w:val="18"/>
        </w:rPr>
        <w:t> </w:t>
      </w:r>
      <w:r>
        <w:rPr>
          <w:w w:val="110"/>
          <w:sz w:val="18"/>
        </w:rPr>
        <w:t>303,</w:t>
      </w:r>
      <w:r>
        <w:rPr>
          <w:spacing w:val="-8"/>
          <w:w w:val="110"/>
          <w:sz w:val="18"/>
        </w:rPr>
        <w:t> </w:t>
      </w:r>
      <w:r>
        <w:rPr>
          <w:w w:val="110"/>
          <w:sz w:val="18"/>
        </w:rPr>
        <w:t>319</w:t>
      </w:r>
      <w:r>
        <w:rPr>
          <w:spacing w:val="-8"/>
          <w:w w:val="110"/>
          <w:sz w:val="18"/>
        </w:rPr>
        <w:t> </w:t>
      </w:r>
      <w:r>
        <w:rPr>
          <w:w w:val="110"/>
          <w:sz w:val="18"/>
        </w:rPr>
        <w:t>(2013),</w:t>
      </w:r>
      <w:r>
        <w:rPr>
          <w:spacing w:val="-8"/>
          <w:w w:val="110"/>
          <w:sz w:val="18"/>
        </w:rPr>
        <w:t> </w:t>
      </w:r>
      <w:r>
        <w:rPr>
          <w:w w:val="110"/>
          <w:sz w:val="18"/>
        </w:rPr>
        <w:t>doi: </w:t>
      </w:r>
      <w:r>
        <w:rPr>
          <w:spacing w:val="-2"/>
          <w:w w:val="110"/>
          <w:sz w:val="18"/>
        </w:rPr>
        <w:t>10.1093/sf/sot047.</w:t>
      </w:r>
    </w:p>
    <w:p>
      <w:pPr>
        <w:pStyle w:val="ListParagraph"/>
        <w:numPr>
          <w:ilvl w:val="0"/>
          <w:numId w:val="1"/>
        </w:numPr>
        <w:tabs>
          <w:tab w:pos="377" w:val="left" w:leader="none"/>
        </w:tabs>
        <w:spacing w:line="240" w:lineRule="auto" w:before="2" w:after="0"/>
        <w:ind w:left="377" w:right="0" w:hanging="267"/>
        <w:jc w:val="both"/>
        <w:rPr>
          <w:sz w:val="18"/>
        </w:rPr>
      </w:pPr>
      <w:r>
        <w:rPr>
          <w:i/>
          <w:w w:val="115"/>
          <w:sz w:val="18"/>
        </w:rPr>
        <w:t>Id.</w:t>
      </w:r>
      <w:r>
        <w:rPr>
          <w:i/>
          <w:spacing w:val="-4"/>
          <w:w w:val="115"/>
          <w:sz w:val="18"/>
        </w:rPr>
        <w:t> </w:t>
      </w:r>
      <w:r>
        <w:rPr>
          <w:w w:val="115"/>
          <w:sz w:val="18"/>
        </w:rPr>
        <w:t>at</w:t>
      </w:r>
      <w:r>
        <w:rPr>
          <w:spacing w:val="-3"/>
          <w:w w:val="115"/>
          <w:sz w:val="18"/>
        </w:rPr>
        <w:t> </w:t>
      </w:r>
      <w:r>
        <w:rPr>
          <w:spacing w:val="-4"/>
          <w:w w:val="115"/>
          <w:sz w:val="18"/>
        </w:rPr>
        <w:t>320.</w:t>
      </w:r>
    </w:p>
    <w:p>
      <w:pPr>
        <w:pStyle w:val="ListParagraph"/>
        <w:numPr>
          <w:ilvl w:val="0"/>
          <w:numId w:val="1"/>
        </w:numPr>
        <w:tabs>
          <w:tab w:pos="378" w:val="left" w:leader="none"/>
        </w:tabs>
        <w:spacing w:line="240" w:lineRule="auto" w:before="13" w:after="0"/>
        <w:ind w:left="378" w:right="0" w:hanging="268"/>
        <w:jc w:val="both"/>
        <w:rPr>
          <w:i/>
          <w:sz w:val="18"/>
        </w:rPr>
      </w:pPr>
      <w:r>
        <w:rPr>
          <w:i/>
          <w:spacing w:val="-5"/>
          <w:w w:val="115"/>
          <w:sz w:val="18"/>
        </w:rPr>
        <w:t>Id.</w:t>
      </w:r>
    </w:p>
    <w:p>
      <w:pPr>
        <w:pStyle w:val="ListParagraph"/>
        <w:numPr>
          <w:ilvl w:val="0"/>
          <w:numId w:val="1"/>
        </w:numPr>
        <w:tabs>
          <w:tab w:pos="378" w:val="left" w:leader="none"/>
          <w:tab w:pos="380" w:val="left" w:leader="none"/>
        </w:tabs>
        <w:spacing w:line="254" w:lineRule="auto" w:before="13" w:after="0"/>
        <w:ind w:left="380" w:right="578" w:hanging="270"/>
        <w:jc w:val="left"/>
        <w:rPr>
          <w:sz w:val="18"/>
        </w:rPr>
      </w:pPr>
      <w:r>
        <w:rPr>
          <w:w w:val="115"/>
          <w:sz w:val="18"/>
        </w:rPr>
        <w:t>T Jelleyman &amp; N. Spencer, </w:t>
      </w:r>
      <w:r>
        <w:rPr>
          <w:i/>
          <w:w w:val="115"/>
          <w:sz w:val="18"/>
        </w:rPr>
        <w:t>Residential Mobility in Childhood and Health Outcomes: A Systematic </w:t>
      </w:r>
      <w:r>
        <w:rPr>
          <w:i/>
          <w:spacing w:val="-4"/>
          <w:w w:val="115"/>
          <w:sz w:val="18"/>
        </w:rPr>
        <w:t>Review</w:t>
      </w:r>
      <w:r>
        <w:rPr>
          <w:spacing w:val="-4"/>
          <w:w w:val="115"/>
          <w:sz w:val="18"/>
        </w:rPr>
        <w:t>,</w:t>
      </w:r>
      <w:r>
        <w:rPr>
          <w:spacing w:val="-8"/>
          <w:w w:val="115"/>
          <w:sz w:val="18"/>
        </w:rPr>
        <w:t> </w:t>
      </w:r>
      <w:r>
        <w:rPr>
          <w:spacing w:val="-4"/>
          <w:w w:val="115"/>
          <w:sz w:val="18"/>
        </w:rPr>
        <w:t>62</w:t>
      </w:r>
      <w:r>
        <w:rPr>
          <w:spacing w:val="-9"/>
          <w:w w:val="115"/>
          <w:sz w:val="18"/>
        </w:rPr>
        <w:t> </w:t>
      </w:r>
      <w:r>
        <w:rPr>
          <w:spacing w:val="-4"/>
          <w:w w:val="115"/>
          <w:sz w:val="18"/>
        </w:rPr>
        <w:t>J.</w:t>
      </w:r>
      <w:r>
        <w:rPr>
          <w:spacing w:val="-9"/>
          <w:w w:val="115"/>
          <w:sz w:val="18"/>
        </w:rPr>
        <w:t> </w:t>
      </w:r>
      <w:r>
        <w:rPr>
          <w:spacing w:val="-4"/>
          <w:w w:val="115"/>
          <w:sz w:val="18"/>
        </w:rPr>
        <w:t>Epidemiol.</w:t>
      </w:r>
      <w:r>
        <w:rPr>
          <w:spacing w:val="-9"/>
          <w:w w:val="115"/>
          <w:sz w:val="18"/>
        </w:rPr>
        <w:t> </w:t>
      </w:r>
      <w:r>
        <w:rPr>
          <w:spacing w:val="-4"/>
          <w:w w:val="115"/>
          <w:sz w:val="18"/>
        </w:rPr>
        <w:t>Cmty. </w:t>
      </w:r>
      <w:r>
        <w:rPr>
          <w:w w:val="115"/>
          <w:sz w:val="18"/>
        </w:rPr>
        <w:t>Health J. 584, 590 (2008), </w:t>
      </w:r>
      <w:r>
        <w:rPr>
          <w:spacing w:val="-2"/>
          <w:w w:val="110"/>
          <w:sz w:val="18"/>
        </w:rPr>
        <w:t>doi:10.1136/jech.2007.060103.</w:t>
      </w:r>
    </w:p>
    <w:p>
      <w:pPr>
        <w:pStyle w:val="ListParagraph"/>
        <w:numPr>
          <w:ilvl w:val="0"/>
          <w:numId w:val="1"/>
        </w:numPr>
        <w:tabs>
          <w:tab w:pos="378" w:val="left" w:leader="none"/>
        </w:tabs>
        <w:spacing w:line="240" w:lineRule="auto" w:before="4" w:after="0"/>
        <w:ind w:left="378" w:right="0" w:hanging="268"/>
        <w:jc w:val="left"/>
        <w:rPr>
          <w:sz w:val="18"/>
        </w:rPr>
      </w:pPr>
      <w:r>
        <w:rPr>
          <w:i/>
          <w:w w:val="110"/>
          <w:sz w:val="18"/>
        </w:rPr>
        <w:t>Zimmer,</w:t>
      </w:r>
      <w:r>
        <w:rPr>
          <w:i/>
          <w:spacing w:val="2"/>
          <w:w w:val="110"/>
          <w:sz w:val="18"/>
        </w:rPr>
        <w:t> </w:t>
      </w:r>
      <w:r>
        <w:rPr>
          <w:i/>
          <w:w w:val="110"/>
          <w:sz w:val="18"/>
        </w:rPr>
        <w:t>Inc.</w:t>
      </w:r>
      <w:r>
        <w:rPr>
          <w:i/>
          <w:spacing w:val="1"/>
          <w:w w:val="110"/>
          <w:sz w:val="18"/>
        </w:rPr>
        <w:t> </w:t>
      </w:r>
      <w:r>
        <w:rPr>
          <w:i/>
          <w:w w:val="110"/>
          <w:sz w:val="18"/>
        </w:rPr>
        <w:t>v.</w:t>
      </w:r>
      <w:r>
        <w:rPr>
          <w:i/>
          <w:spacing w:val="1"/>
          <w:w w:val="110"/>
          <w:sz w:val="18"/>
        </w:rPr>
        <w:t> </w:t>
      </w:r>
      <w:r>
        <w:rPr>
          <w:i/>
          <w:w w:val="110"/>
          <w:sz w:val="18"/>
        </w:rPr>
        <w:t>Davis</w:t>
      </w:r>
      <w:r>
        <w:rPr>
          <w:w w:val="110"/>
          <w:sz w:val="18"/>
        </w:rPr>
        <w:t>,</w:t>
      </w:r>
      <w:r>
        <w:rPr>
          <w:spacing w:val="2"/>
          <w:w w:val="110"/>
          <w:sz w:val="18"/>
        </w:rPr>
        <w:t> </w:t>
      </w:r>
      <w:r>
        <w:rPr>
          <w:spacing w:val="-5"/>
          <w:w w:val="110"/>
          <w:sz w:val="18"/>
        </w:rPr>
        <w:t>922</w:t>
      </w:r>
    </w:p>
    <w:p>
      <w:pPr>
        <w:pStyle w:val="BodyText"/>
        <w:spacing w:before="13"/>
        <w:ind w:left="380"/>
      </w:pPr>
      <w:r>
        <w:rPr>
          <w:w w:val="110"/>
        </w:rPr>
        <w:t>N.E.2d</w:t>
      </w:r>
      <w:r>
        <w:rPr>
          <w:spacing w:val="-6"/>
          <w:w w:val="110"/>
        </w:rPr>
        <w:t> </w:t>
      </w:r>
      <w:r>
        <w:rPr>
          <w:w w:val="110"/>
        </w:rPr>
        <w:t>68,</w:t>
      </w:r>
      <w:r>
        <w:rPr>
          <w:spacing w:val="-5"/>
          <w:w w:val="110"/>
        </w:rPr>
        <w:t> </w:t>
      </w:r>
      <w:r>
        <w:rPr>
          <w:w w:val="110"/>
        </w:rPr>
        <w:t>71</w:t>
      </w:r>
      <w:r>
        <w:rPr>
          <w:spacing w:val="-6"/>
          <w:w w:val="110"/>
        </w:rPr>
        <w:t> </w:t>
      </w:r>
      <w:r>
        <w:rPr>
          <w:w w:val="110"/>
        </w:rPr>
        <w:t>(Ind.</w:t>
      </w:r>
      <w:r>
        <w:rPr>
          <w:spacing w:val="-7"/>
          <w:w w:val="110"/>
        </w:rPr>
        <w:t> </w:t>
      </w:r>
      <w:r>
        <w:rPr>
          <w:w w:val="110"/>
        </w:rPr>
        <w:t>Ct.</w:t>
      </w:r>
      <w:r>
        <w:rPr>
          <w:spacing w:val="-6"/>
          <w:w w:val="110"/>
        </w:rPr>
        <w:t> </w:t>
      </w:r>
      <w:r>
        <w:rPr>
          <w:spacing w:val="-4"/>
          <w:w w:val="110"/>
        </w:rPr>
        <w:t>App.</w:t>
      </w:r>
    </w:p>
    <w:p>
      <w:pPr>
        <w:pStyle w:val="BodyText"/>
        <w:spacing w:before="13"/>
        <w:ind w:left="380"/>
      </w:pPr>
      <w:r>
        <w:rPr>
          <w:spacing w:val="-2"/>
          <w:w w:val="110"/>
        </w:rPr>
        <w:t>2010).</w:t>
      </w:r>
    </w:p>
    <w:p>
      <w:pPr>
        <w:pStyle w:val="ListParagraph"/>
        <w:numPr>
          <w:ilvl w:val="0"/>
          <w:numId w:val="1"/>
        </w:numPr>
        <w:tabs>
          <w:tab w:pos="378" w:val="left" w:leader="none"/>
        </w:tabs>
        <w:spacing w:line="240" w:lineRule="auto" w:before="13" w:after="0"/>
        <w:ind w:left="378" w:right="0" w:hanging="268"/>
        <w:jc w:val="both"/>
        <w:rPr>
          <w:sz w:val="18"/>
        </w:rPr>
      </w:pPr>
      <w:r>
        <w:rPr>
          <w:i/>
          <w:w w:val="115"/>
          <w:sz w:val="18"/>
        </w:rPr>
        <w:t>Id.</w:t>
      </w:r>
      <w:r>
        <w:rPr>
          <w:i/>
          <w:spacing w:val="-4"/>
          <w:w w:val="115"/>
          <w:sz w:val="18"/>
        </w:rPr>
        <w:t> </w:t>
      </w:r>
      <w:r>
        <w:rPr>
          <w:w w:val="115"/>
          <w:sz w:val="18"/>
        </w:rPr>
        <w:t>at</w:t>
      </w:r>
      <w:r>
        <w:rPr>
          <w:spacing w:val="-3"/>
          <w:w w:val="115"/>
          <w:sz w:val="18"/>
        </w:rPr>
        <w:t> </w:t>
      </w:r>
      <w:r>
        <w:rPr>
          <w:spacing w:val="-5"/>
          <w:w w:val="115"/>
          <w:sz w:val="18"/>
        </w:rPr>
        <w:t>72.</w:t>
      </w:r>
    </w:p>
    <w:p>
      <w:pPr>
        <w:pStyle w:val="ListParagraph"/>
        <w:numPr>
          <w:ilvl w:val="0"/>
          <w:numId w:val="1"/>
        </w:numPr>
        <w:tabs>
          <w:tab w:pos="378" w:val="left" w:leader="none"/>
          <w:tab w:pos="380" w:val="left" w:leader="none"/>
        </w:tabs>
        <w:spacing w:line="254" w:lineRule="auto" w:before="13" w:after="0"/>
        <w:ind w:left="380" w:right="823" w:hanging="270"/>
        <w:jc w:val="both"/>
        <w:rPr>
          <w:sz w:val="18"/>
        </w:rPr>
      </w:pPr>
      <w:r>
        <w:rPr>
          <w:i/>
          <w:w w:val="110"/>
          <w:sz w:val="18"/>
        </w:rPr>
        <w:t>Ervin Equip. Inc. v. Wabash Nat'l</w:t>
      </w:r>
      <w:r>
        <w:rPr>
          <w:i/>
          <w:spacing w:val="-2"/>
          <w:w w:val="110"/>
          <w:sz w:val="18"/>
        </w:rPr>
        <w:t> </w:t>
      </w:r>
      <w:r>
        <w:rPr>
          <w:i/>
          <w:w w:val="110"/>
          <w:sz w:val="18"/>
        </w:rPr>
        <w:t>Corp.</w:t>
      </w:r>
      <w:r>
        <w:rPr>
          <w:w w:val="110"/>
          <w:sz w:val="18"/>
        </w:rPr>
        <w:t>,</w:t>
      </w:r>
      <w:r>
        <w:rPr>
          <w:spacing w:val="-1"/>
          <w:w w:val="110"/>
          <w:sz w:val="18"/>
        </w:rPr>
        <w:t> </w:t>
      </w:r>
      <w:r>
        <w:rPr>
          <w:w w:val="110"/>
          <w:sz w:val="18"/>
        </w:rPr>
        <w:t>187</w:t>
      </w:r>
      <w:r>
        <w:rPr>
          <w:spacing w:val="-2"/>
          <w:w w:val="110"/>
          <w:sz w:val="18"/>
        </w:rPr>
        <w:t> </w:t>
      </w:r>
      <w:r>
        <w:rPr>
          <w:w w:val="110"/>
          <w:sz w:val="18"/>
        </w:rPr>
        <w:t>F.</w:t>
      </w:r>
      <w:r>
        <w:rPr>
          <w:spacing w:val="-2"/>
          <w:w w:val="110"/>
          <w:sz w:val="18"/>
        </w:rPr>
        <w:t> </w:t>
      </w:r>
      <w:r>
        <w:rPr>
          <w:w w:val="110"/>
          <w:sz w:val="18"/>
        </w:rPr>
        <w:t>Supp.</w:t>
      </w:r>
      <w:r>
        <w:rPr>
          <w:spacing w:val="-2"/>
          <w:w w:val="110"/>
          <w:sz w:val="18"/>
        </w:rPr>
        <w:t> </w:t>
      </w:r>
      <w:r>
        <w:rPr>
          <w:w w:val="110"/>
          <w:sz w:val="18"/>
        </w:rPr>
        <w:t>3d 968, 978 (N.D. Ind. 2016).</w:t>
      </w:r>
    </w:p>
    <w:p>
      <w:pPr>
        <w:pStyle w:val="ListParagraph"/>
        <w:numPr>
          <w:ilvl w:val="0"/>
          <w:numId w:val="1"/>
        </w:numPr>
        <w:tabs>
          <w:tab w:pos="378" w:val="left" w:leader="none"/>
          <w:tab w:pos="380" w:val="left" w:leader="none"/>
        </w:tabs>
        <w:spacing w:line="254" w:lineRule="auto" w:before="2" w:after="0"/>
        <w:ind w:left="380" w:right="564" w:hanging="270"/>
        <w:jc w:val="left"/>
        <w:rPr>
          <w:sz w:val="18"/>
        </w:rPr>
      </w:pPr>
      <w:r>
        <w:rPr>
          <w:w w:val="115"/>
          <w:sz w:val="18"/>
        </w:rPr>
        <w:t>FHCCI State of Fair Housing Report, </w:t>
      </w:r>
      <w:r>
        <w:rPr>
          <w:i/>
          <w:w w:val="115"/>
          <w:sz w:val="18"/>
        </w:rPr>
        <w:t>At What Cost? Rents, </w:t>
      </w:r>
      <w:r>
        <w:rPr>
          <w:i/>
          <w:spacing w:val="-2"/>
          <w:w w:val="115"/>
          <w:sz w:val="18"/>
        </w:rPr>
        <w:t>Burdens,</w:t>
      </w:r>
      <w:r>
        <w:rPr>
          <w:i/>
          <w:spacing w:val="-11"/>
          <w:w w:val="115"/>
          <w:sz w:val="18"/>
        </w:rPr>
        <w:t> </w:t>
      </w:r>
      <w:r>
        <w:rPr>
          <w:i/>
          <w:spacing w:val="-2"/>
          <w:w w:val="115"/>
          <w:sz w:val="18"/>
        </w:rPr>
        <w:t>Evictions,</w:t>
      </w:r>
      <w:r>
        <w:rPr>
          <w:i/>
          <w:spacing w:val="-11"/>
          <w:w w:val="115"/>
          <w:sz w:val="18"/>
        </w:rPr>
        <w:t> </w:t>
      </w:r>
      <w:r>
        <w:rPr>
          <w:i/>
          <w:spacing w:val="-2"/>
          <w:w w:val="115"/>
          <w:sz w:val="18"/>
        </w:rPr>
        <w:t>and</w:t>
      </w:r>
      <w:r>
        <w:rPr>
          <w:i/>
          <w:spacing w:val="-11"/>
          <w:w w:val="115"/>
          <w:sz w:val="18"/>
        </w:rPr>
        <w:t> </w:t>
      </w:r>
      <w:r>
        <w:rPr>
          <w:i/>
          <w:spacing w:val="-2"/>
          <w:w w:val="115"/>
          <w:sz w:val="18"/>
        </w:rPr>
        <w:t>Profits </w:t>
      </w:r>
      <w:r>
        <w:rPr>
          <w:i/>
          <w:w w:val="115"/>
          <w:sz w:val="18"/>
        </w:rPr>
        <w:t>in Marion County</w:t>
      </w:r>
      <w:r>
        <w:rPr>
          <w:w w:val="115"/>
          <w:sz w:val="18"/>
        </w:rPr>
        <w:t>, 9 (2022).</w:t>
      </w:r>
    </w:p>
    <w:p>
      <w:pPr>
        <w:pStyle w:val="ListParagraph"/>
        <w:numPr>
          <w:ilvl w:val="0"/>
          <w:numId w:val="1"/>
        </w:numPr>
        <w:tabs>
          <w:tab w:pos="378" w:val="left" w:leader="none"/>
          <w:tab w:pos="380" w:val="left" w:leader="none"/>
        </w:tabs>
        <w:spacing w:line="254" w:lineRule="auto" w:before="3" w:after="0"/>
        <w:ind w:left="380" w:right="892" w:hanging="270"/>
        <w:jc w:val="left"/>
        <w:rPr>
          <w:sz w:val="18"/>
        </w:rPr>
      </w:pPr>
      <w:r>
        <w:rPr>
          <w:w w:val="110"/>
          <w:sz w:val="18"/>
        </w:rPr>
        <w:t>Ind.</w:t>
      </w:r>
      <w:r>
        <w:rPr>
          <w:spacing w:val="-10"/>
          <w:w w:val="110"/>
          <w:sz w:val="18"/>
        </w:rPr>
        <w:t> </w:t>
      </w:r>
      <w:r>
        <w:rPr>
          <w:w w:val="110"/>
          <w:sz w:val="18"/>
        </w:rPr>
        <w:t>Code</w:t>
      </w:r>
      <w:r>
        <w:rPr>
          <w:spacing w:val="-10"/>
          <w:w w:val="110"/>
          <w:sz w:val="18"/>
        </w:rPr>
        <w:t> </w:t>
      </w:r>
      <w:r>
        <w:rPr>
          <w:w w:val="110"/>
          <w:sz w:val="18"/>
        </w:rPr>
        <w:t>Ann.</w:t>
      </w:r>
      <w:r>
        <w:rPr>
          <w:spacing w:val="-10"/>
          <w:w w:val="110"/>
          <w:sz w:val="18"/>
        </w:rPr>
        <w:t> </w:t>
      </w:r>
      <w:r>
        <w:rPr>
          <w:w w:val="110"/>
          <w:sz w:val="18"/>
        </w:rPr>
        <w:t>§</w:t>
      </w:r>
      <w:r>
        <w:rPr>
          <w:spacing w:val="-9"/>
          <w:w w:val="110"/>
          <w:sz w:val="18"/>
        </w:rPr>
        <w:t> </w:t>
      </w:r>
      <w:r>
        <w:rPr>
          <w:w w:val="110"/>
          <w:sz w:val="18"/>
        </w:rPr>
        <w:t>32-31-1-6 </w:t>
      </w:r>
      <w:r>
        <w:rPr>
          <w:spacing w:val="-2"/>
          <w:w w:val="115"/>
          <w:sz w:val="18"/>
        </w:rPr>
        <w:t>(West).</w:t>
      </w:r>
    </w:p>
    <w:sectPr>
      <w:footerReference w:type="default" r:id="rId15"/>
      <w:pgSz w:w="12060" w:h="15660"/>
      <w:pgMar w:footer="971" w:header="0" w:top="1140" w:bottom="1160" w:left="740" w:right="660"/>
      <w:cols w:num="3" w:equalWidth="0">
        <w:col w:w="3287" w:space="436"/>
        <w:col w:w="2962" w:space="491"/>
        <w:col w:w="348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52672">
              <wp:simplePos x="0" y="0"/>
              <wp:positionH relativeFrom="page">
                <wp:posOffset>501900</wp:posOffset>
              </wp:positionH>
              <wp:positionV relativeFrom="page">
                <wp:posOffset>9185133</wp:posOffset>
              </wp:positionV>
              <wp:extent cx="2985770" cy="34480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985770" cy="344805"/>
                      </a:xfrm>
                      <a:prstGeom prst="rect">
                        <a:avLst/>
                      </a:prstGeom>
                    </wps:spPr>
                    <wps:txbx>
                      <w:txbxContent>
                        <w:p>
                          <w:pPr>
                            <w:pStyle w:val="BodyText"/>
                            <w:spacing w:before="40"/>
                            <w:ind w:left="60"/>
                            <w:rPr>
                              <w:rFonts w:ascii="Arial"/>
                            </w:rPr>
                          </w:pPr>
                          <w:r>
                            <w:rPr>
                              <w:rFonts w:ascii="Arial"/>
                              <w:spacing w:val="-5"/>
                              <w:w w:val="110"/>
                            </w:rPr>
                            <w:fldChar w:fldCharType="begin"/>
                          </w:r>
                          <w:r>
                            <w:rPr>
                              <w:rFonts w:ascii="Arial"/>
                              <w:spacing w:val="-5"/>
                              <w:w w:val="110"/>
                            </w:rPr>
                            <w:instrText> PAGE </w:instrText>
                          </w:r>
                          <w:r>
                            <w:rPr>
                              <w:rFonts w:ascii="Arial"/>
                              <w:spacing w:val="-5"/>
                              <w:w w:val="110"/>
                            </w:rPr>
                            <w:fldChar w:fldCharType="separate"/>
                          </w:r>
                          <w:r>
                            <w:rPr>
                              <w:rFonts w:ascii="Arial"/>
                              <w:spacing w:val="-5"/>
                              <w:w w:val="110"/>
                            </w:rPr>
                            <w:t>20</w:t>
                          </w:r>
                          <w:r>
                            <w:rPr>
                              <w:rFonts w:ascii="Arial"/>
                              <w:spacing w:val="-5"/>
                              <w:w w:val="110"/>
                            </w:rPr>
                            <w:fldChar w:fldCharType="end"/>
                          </w:r>
                        </w:p>
                        <w:p>
                          <w:pPr>
                            <w:spacing w:before="95"/>
                            <w:ind w:left="50" w:right="0" w:firstLine="0"/>
                            <w:jc w:val="left"/>
                            <w:rPr>
                              <w:rFonts w:ascii="Arial" w:hAnsi="Arial"/>
                              <w:sz w:val="15"/>
                            </w:rPr>
                          </w:pPr>
                          <w:r>
                            <w:rPr>
                              <w:rFonts w:ascii="Arial" w:hAnsi="Arial"/>
                              <w:color w:val="AAAAAA"/>
                              <w:spacing w:val="14"/>
                              <w:sz w:val="15"/>
                            </w:rPr>
                            <w:t>RES</w:t>
                          </w:r>
                          <w:r>
                            <w:rPr>
                              <w:rFonts w:ascii="Arial" w:hAnsi="Arial"/>
                              <w:color w:val="AAAAAA"/>
                              <w:spacing w:val="49"/>
                              <w:sz w:val="15"/>
                            </w:rPr>
                            <w:t> </w:t>
                          </w:r>
                          <w:r>
                            <w:rPr>
                              <w:rFonts w:ascii="Arial" w:hAnsi="Arial"/>
                              <w:color w:val="AAAAAA"/>
                              <w:spacing w:val="14"/>
                              <w:sz w:val="15"/>
                            </w:rPr>
                            <w:t>GES</w:t>
                          </w:r>
                          <w:r>
                            <w:rPr>
                              <w:rFonts w:ascii="Arial" w:hAnsi="Arial"/>
                              <w:color w:val="AAAAAA"/>
                              <w:spacing w:val="-19"/>
                              <w:sz w:val="15"/>
                            </w:rPr>
                            <w:t> </w:t>
                          </w:r>
                          <w:r>
                            <w:rPr>
                              <w:rFonts w:ascii="Arial" w:hAnsi="Arial"/>
                              <w:color w:val="AAAAAA"/>
                              <w:spacing w:val="13"/>
                              <w:sz w:val="15"/>
                            </w:rPr>
                            <w:t>TAE</w:t>
                          </w:r>
                          <w:r>
                            <w:rPr>
                              <w:rFonts w:ascii="Arial" w:hAnsi="Arial"/>
                              <w:color w:val="AAAAAA"/>
                              <w:spacing w:val="50"/>
                              <w:sz w:val="15"/>
                            </w:rPr>
                            <w:t> </w:t>
                          </w:r>
                          <w:r>
                            <w:rPr>
                              <w:rFonts w:ascii="Arial" w:hAnsi="Arial"/>
                              <w:color w:val="AAAAAA"/>
                              <w:sz w:val="15"/>
                            </w:rPr>
                            <w:t>•</w:t>
                          </w:r>
                          <w:r>
                            <w:rPr>
                              <w:rFonts w:ascii="Arial" w:hAnsi="Arial"/>
                              <w:color w:val="AAAAAA"/>
                              <w:spacing w:val="42"/>
                              <w:sz w:val="15"/>
                            </w:rPr>
                            <w:t> </w:t>
                          </w:r>
                          <w:r>
                            <w:rPr>
                              <w:rFonts w:ascii="Arial" w:hAnsi="Arial"/>
                              <w:color w:val="AAAAAA"/>
                              <w:spacing w:val="18"/>
                              <w:sz w:val="15"/>
                            </w:rPr>
                            <w:t>INDIANA</w:t>
                          </w:r>
                          <w:r>
                            <w:rPr>
                              <w:rFonts w:ascii="Arial" w:hAnsi="Arial"/>
                              <w:color w:val="AAAAAA"/>
                              <w:spacing w:val="49"/>
                              <w:sz w:val="15"/>
                            </w:rPr>
                            <w:t> </w:t>
                          </w:r>
                          <w:r>
                            <w:rPr>
                              <w:rFonts w:ascii="Arial" w:hAnsi="Arial"/>
                              <w:color w:val="AAAAAA"/>
                              <w:sz w:val="15"/>
                            </w:rPr>
                            <w:t>S</w:t>
                          </w:r>
                          <w:r>
                            <w:rPr>
                              <w:rFonts w:ascii="Arial" w:hAnsi="Arial"/>
                              <w:color w:val="AAAAAA"/>
                              <w:spacing w:val="-19"/>
                              <w:sz w:val="15"/>
                            </w:rPr>
                            <w:t> </w:t>
                          </w:r>
                          <w:r>
                            <w:rPr>
                              <w:rFonts w:ascii="Arial" w:hAnsi="Arial"/>
                              <w:color w:val="AAAAAA"/>
                              <w:spacing w:val="14"/>
                              <w:sz w:val="15"/>
                            </w:rPr>
                            <w:t>TATE</w:t>
                          </w:r>
                          <w:r>
                            <w:rPr>
                              <w:rFonts w:ascii="Arial" w:hAnsi="Arial"/>
                              <w:color w:val="AAAAAA"/>
                              <w:spacing w:val="50"/>
                              <w:sz w:val="15"/>
                            </w:rPr>
                            <w:t> </w:t>
                          </w:r>
                          <w:r>
                            <w:rPr>
                              <w:rFonts w:ascii="Arial" w:hAnsi="Arial"/>
                              <w:color w:val="AAAAAA"/>
                              <w:spacing w:val="14"/>
                              <w:sz w:val="15"/>
                            </w:rPr>
                            <w:t>BAR</w:t>
                          </w:r>
                          <w:r>
                            <w:rPr>
                              <w:rFonts w:ascii="Arial" w:hAnsi="Arial"/>
                              <w:color w:val="AAAAAA"/>
                              <w:spacing w:val="49"/>
                              <w:sz w:val="15"/>
                            </w:rPr>
                            <w:t> </w:t>
                          </w:r>
                          <w:r>
                            <w:rPr>
                              <w:rFonts w:ascii="Arial" w:hAnsi="Arial"/>
                              <w:color w:val="AAAAAA"/>
                              <w:spacing w:val="17"/>
                              <w:sz w:val="15"/>
                            </w:rPr>
                            <w:t>ASSOCIATION </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9.519699pt;margin-top:723.238892pt;width:235.1pt;height:27.15pt;mso-position-horizontal-relative:page;mso-position-vertical-relative:page;z-index:-15863808" type="#_x0000_t202" id="docshape1" filled="false" stroked="false">
              <v:textbox inset="0,0,0,0">
                <w:txbxContent>
                  <w:p>
                    <w:pPr>
                      <w:pStyle w:val="BodyText"/>
                      <w:spacing w:before="40"/>
                      <w:ind w:left="60"/>
                      <w:rPr>
                        <w:rFonts w:ascii="Arial"/>
                      </w:rPr>
                    </w:pPr>
                    <w:r>
                      <w:rPr>
                        <w:rFonts w:ascii="Arial"/>
                        <w:spacing w:val="-5"/>
                        <w:w w:val="110"/>
                      </w:rPr>
                      <w:fldChar w:fldCharType="begin"/>
                    </w:r>
                    <w:r>
                      <w:rPr>
                        <w:rFonts w:ascii="Arial"/>
                        <w:spacing w:val="-5"/>
                        <w:w w:val="110"/>
                      </w:rPr>
                      <w:instrText> PAGE </w:instrText>
                    </w:r>
                    <w:r>
                      <w:rPr>
                        <w:rFonts w:ascii="Arial"/>
                        <w:spacing w:val="-5"/>
                        <w:w w:val="110"/>
                      </w:rPr>
                      <w:fldChar w:fldCharType="separate"/>
                    </w:r>
                    <w:r>
                      <w:rPr>
                        <w:rFonts w:ascii="Arial"/>
                        <w:spacing w:val="-5"/>
                        <w:w w:val="110"/>
                      </w:rPr>
                      <w:t>20</w:t>
                    </w:r>
                    <w:r>
                      <w:rPr>
                        <w:rFonts w:ascii="Arial"/>
                        <w:spacing w:val="-5"/>
                        <w:w w:val="110"/>
                      </w:rPr>
                      <w:fldChar w:fldCharType="end"/>
                    </w:r>
                  </w:p>
                  <w:p>
                    <w:pPr>
                      <w:spacing w:before="95"/>
                      <w:ind w:left="50" w:right="0" w:firstLine="0"/>
                      <w:jc w:val="left"/>
                      <w:rPr>
                        <w:rFonts w:ascii="Arial" w:hAnsi="Arial"/>
                        <w:sz w:val="15"/>
                      </w:rPr>
                    </w:pPr>
                    <w:r>
                      <w:rPr>
                        <w:rFonts w:ascii="Arial" w:hAnsi="Arial"/>
                        <w:color w:val="AAAAAA"/>
                        <w:spacing w:val="14"/>
                        <w:sz w:val="15"/>
                      </w:rPr>
                      <w:t>RES</w:t>
                    </w:r>
                    <w:r>
                      <w:rPr>
                        <w:rFonts w:ascii="Arial" w:hAnsi="Arial"/>
                        <w:color w:val="AAAAAA"/>
                        <w:spacing w:val="49"/>
                        <w:sz w:val="15"/>
                      </w:rPr>
                      <w:t> </w:t>
                    </w:r>
                    <w:r>
                      <w:rPr>
                        <w:rFonts w:ascii="Arial" w:hAnsi="Arial"/>
                        <w:color w:val="AAAAAA"/>
                        <w:spacing w:val="14"/>
                        <w:sz w:val="15"/>
                      </w:rPr>
                      <w:t>GES</w:t>
                    </w:r>
                    <w:r>
                      <w:rPr>
                        <w:rFonts w:ascii="Arial" w:hAnsi="Arial"/>
                        <w:color w:val="AAAAAA"/>
                        <w:spacing w:val="-19"/>
                        <w:sz w:val="15"/>
                      </w:rPr>
                      <w:t> </w:t>
                    </w:r>
                    <w:r>
                      <w:rPr>
                        <w:rFonts w:ascii="Arial" w:hAnsi="Arial"/>
                        <w:color w:val="AAAAAA"/>
                        <w:spacing w:val="13"/>
                        <w:sz w:val="15"/>
                      </w:rPr>
                      <w:t>TAE</w:t>
                    </w:r>
                    <w:r>
                      <w:rPr>
                        <w:rFonts w:ascii="Arial" w:hAnsi="Arial"/>
                        <w:color w:val="AAAAAA"/>
                        <w:spacing w:val="50"/>
                        <w:sz w:val="15"/>
                      </w:rPr>
                      <w:t> </w:t>
                    </w:r>
                    <w:r>
                      <w:rPr>
                        <w:rFonts w:ascii="Arial" w:hAnsi="Arial"/>
                        <w:color w:val="AAAAAA"/>
                        <w:sz w:val="15"/>
                      </w:rPr>
                      <w:t>•</w:t>
                    </w:r>
                    <w:r>
                      <w:rPr>
                        <w:rFonts w:ascii="Arial" w:hAnsi="Arial"/>
                        <w:color w:val="AAAAAA"/>
                        <w:spacing w:val="42"/>
                        <w:sz w:val="15"/>
                      </w:rPr>
                      <w:t> </w:t>
                    </w:r>
                    <w:r>
                      <w:rPr>
                        <w:rFonts w:ascii="Arial" w:hAnsi="Arial"/>
                        <w:color w:val="AAAAAA"/>
                        <w:spacing w:val="18"/>
                        <w:sz w:val="15"/>
                      </w:rPr>
                      <w:t>INDIANA</w:t>
                    </w:r>
                    <w:r>
                      <w:rPr>
                        <w:rFonts w:ascii="Arial" w:hAnsi="Arial"/>
                        <w:color w:val="AAAAAA"/>
                        <w:spacing w:val="49"/>
                        <w:sz w:val="15"/>
                      </w:rPr>
                      <w:t> </w:t>
                    </w:r>
                    <w:r>
                      <w:rPr>
                        <w:rFonts w:ascii="Arial" w:hAnsi="Arial"/>
                        <w:color w:val="AAAAAA"/>
                        <w:sz w:val="15"/>
                      </w:rPr>
                      <w:t>S</w:t>
                    </w:r>
                    <w:r>
                      <w:rPr>
                        <w:rFonts w:ascii="Arial" w:hAnsi="Arial"/>
                        <w:color w:val="AAAAAA"/>
                        <w:spacing w:val="-19"/>
                        <w:sz w:val="15"/>
                      </w:rPr>
                      <w:t> </w:t>
                    </w:r>
                    <w:r>
                      <w:rPr>
                        <w:rFonts w:ascii="Arial" w:hAnsi="Arial"/>
                        <w:color w:val="AAAAAA"/>
                        <w:spacing w:val="14"/>
                        <w:sz w:val="15"/>
                      </w:rPr>
                      <w:t>TATE</w:t>
                    </w:r>
                    <w:r>
                      <w:rPr>
                        <w:rFonts w:ascii="Arial" w:hAnsi="Arial"/>
                        <w:color w:val="AAAAAA"/>
                        <w:spacing w:val="50"/>
                        <w:sz w:val="15"/>
                      </w:rPr>
                      <w:t> </w:t>
                    </w:r>
                    <w:r>
                      <w:rPr>
                        <w:rFonts w:ascii="Arial" w:hAnsi="Arial"/>
                        <w:color w:val="AAAAAA"/>
                        <w:spacing w:val="14"/>
                        <w:sz w:val="15"/>
                      </w:rPr>
                      <w:t>BAR</w:t>
                    </w:r>
                    <w:r>
                      <w:rPr>
                        <w:rFonts w:ascii="Arial" w:hAnsi="Arial"/>
                        <w:color w:val="AAAAAA"/>
                        <w:spacing w:val="49"/>
                        <w:sz w:val="15"/>
                      </w:rPr>
                      <w:t> </w:t>
                    </w:r>
                    <w:r>
                      <w:rPr>
                        <w:rFonts w:ascii="Arial" w:hAnsi="Arial"/>
                        <w:color w:val="AAAAAA"/>
                        <w:spacing w:val="17"/>
                        <w:sz w:val="15"/>
                      </w:rPr>
                      <w:t>ASSOCIATION </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53184">
              <wp:simplePos x="0" y="0"/>
              <wp:positionH relativeFrom="page">
                <wp:posOffset>5600656</wp:posOffset>
              </wp:positionH>
              <wp:positionV relativeFrom="page">
                <wp:posOffset>9187012</wp:posOffset>
              </wp:positionV>
              <wp:extent cx="1574165" cy="34734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574165" cy="347345"/>
                      </a:xfrm>
                      <a:prstGeom prst="rect">
                        <a:avLst/>
                      </a:prstGeom>
                    </wps:spPr>
                    <wps:txbx>
                      <w:txbxContent>
                        <w:p>
                          <w:pPr>
                            <w:pStyle w:val="BodyText"/>
                            <w:spacing w:before="40"/>
                            <w:ind w:right="78"/>
                            <w:jc w:val="right"/>
                            <w:rPr>
                              <w:rFonts w:ascii="Arial"/>
                            </w:rPr>
                          </w:pPr>
                          <w:r>
                            <w:rPr>
                              <w:rFonts w:ascii="Arial"/>
                              <w:spacing w:val="-5"/>
                            </w:rPr>
                            <w:fldChar w:fldCharType="begin"/>
                          </w:r>
                          <w:r>
                            <w:rPr>
                              <w:rFonts w:ascii="Arial"/>
                              <w:spacing w:val="-5"/>
                            </w:rPr>
                            <w:instrText> PAGE </w:instrText>
                          </w:r>
                          <w:r>
                            <w:rPr>
                              <w:rFonts w:ascii="Arial"/>
                              <w:spacing w:val="-5"/>
                            </w:rPr>
                            <w:fldChar w:fldCharType="separate"/>
                          </w:r>
                          <w:r>
                            <w:rPr>
                              <w:rFonts w:ascii="Arial"/>
                              <w:spacing w:val="-5"/>
                            </w:rPr>
                            <w:t>19</w:t>
                          </w:r>
                          <w:r>
                            <w:rPr>
                              <w:rFonts w:ascii="Arial"/>
                              <w:spacing w:val="-5"/>
                            </w:rPr>
                            <w:fldChar w:fldCharType="end"/>
                          </w:r>
                        </w:p>
                        <w:p>
                          <w:pPr>
                            <w:spacing w:before="91"/>
                            <w:ind w:left="20" w:right="0" w:firstLine="0"/>
                            <w:jc w:val="left"/>
                            <w:rPr>
                              <w:rFonts w:ascii="Arial" w:hAnsi="Arial"/>
                              <w:sz w:val="15"/>
                            </w:rPr>
                          </w:pPr>
                          <w:r>
                            <w:rPr>
                              <w:rFonts w:ascii="Arial" w:hAnsi="Arial"/>
                              <w:color w:val="AAAAAA"/>
                              <w:spacing w:val="18"/>
                              <w:w w:val="105"/>
                              <w:sz w:val="15"/>
                            </w:rPr>
                            <w:t>INBAR.</w:t>
                          </w:r>
                          <w:r>
                            <w:rPr>
                              <w:rFonts w:ascii="Arial" w:hAnsi="Arial"/>
                              <w:color w:val="AAAAAA"/>
                              <w:spacing w:val="-25"/>
                              <w:w w:val="105"/>
                              <w:sz w:val="15"/>
                            </w:rPr>
                            <w:t> </w:t>
                          </w:r>
                          <w:r>
                            <w:rPr>
                              <w:rFonts w:ascii="Arial" w:hAnsi="Arial"/>
                              <w:color w:val="AAAAAA"/>
                              <w:spacing w:val="14"/>
                              <w:w w:val="105"/>
                              <w:sz w:val="15"/>
                            </w:rPr>
                            <w:t>ORG</w:t>
                          </w:r>
                          <w:r>
                            <w:rPr>
                              <w:rFonts w:ascii="Arial" w:hAnsi="Arial"/>
                              <w:color w:val="AAAAAA"/>
                              <w:spacing w:val="77"/>
                              <w:w w:val="150"/>
                              <w:sz w:val="15"/>
                            </w:rPr>
                            <w:t> </w:t>
                          </w:r>
                          <w:r>
                            <w:rPr>
                              <w:rFonts w:ascii="Arial" w:hAnsi="Arial"/>
                              <w:b/>
                              <w:color w:val="AAAAAA"/>
                              <w:w w:val="105"/>
                              <w:sz w:val="15"/>
                            </w:rPr>
                            <w:t>•</w:t>
                          </w:r>
                          <w:r>
                            <w:rPr>
                              <w:rFonts w:ascii="Arial" w:hAnsi="Arial"/>
                              <w:b/>
                              <w:color w:val="AAAAAA"/>
                              <w:spacing w:val="71"/>
                              <w:w w:val="150"/>
                              <w:sz w:val="15"/>
                            </w:rPr>
                            <w:t> </w:t>
                          </w:r>
                          <w:r>
                            <w:rPr>
                              <w:rFonts w:ascii="Arial" w:hAnsi="Arial"/>
                              <w:color w:val="AAAAAA"/>
                              <w:spacing w:val="16"/>
                              <w:w w:val="105"/>
                              <w:sz w:val="15"/>
                            </w:rPr>
                            <w:t>JUNE</w:t>
                          </w:r>
                          <w:r>
                            <w:rPr>
                              <w:rFonts w:ascii="Arial" w:hAnsi="Arial"/>
                              <w:color w:val="AAAAAA"/>
                              <w:spacing w:val="40"/>
                              <w:w w:val="105"/>
                              <w:sz w:val="15"/>
                            </w:rPr>
                            <w:t> </w:t>
                          </w:r>
                          <w:r>
                            <w:rPr>
                              <w:rFonts w:ascii="Arial" w:hAnsi="Arial"/>
                              <w:color w:val="AAAAAA"/>
                              <w:spacing w:val="10"/>
                              <w:w w:val="105"/>
                              <w:sz w:val="15"/>
                            </w:rPr>
                            <w:t>20</w:t>
                          </w:r>
                          <w:r>
                            <w:rPr>
                              <w:rFonts w:ascii="Arial" w:hAnsi="Arial"/>
                              <w:color w:val="AAAAAA"/>
                              <w:spacing w:val="-22"/>
                              <w:w w:val="105"/>
                              <w:sz w:val="15"/>
                            </w:rPr>
                            <w:t> </w:t>
                          </w:r>
                          <w:r>
                            <w:rPr>
                              <w:rFonts w:ascii="Arial" w:hAnsi="Arial"/>
                              <w:color w:val="AAAAAA"/>
                              <w:w w:val="105"/>
                              <w:sz w:val="15"/>
                            </w:rPr>
                            <w:t>2</w:t>
                          </w:r>
                          <w:r>
                            <w:rPr>
                              <w:rFonts w:ascii="Arial" w:hAnsi="Arial"/>
                              <w:color w:val="AAAAAA"/>
                              <w:spacing w:val="-21"/>
                              <w:w w:val="105"/>
                              <w:sz w:val="15"/>
                            </w:rPr>
                            <w:t> </w:t>
                          </w:r>
                          <w:r>
                            <w:rPr>
                              <w:rFonts w:ascii="Arial" w:hAnsi="Arial"/>
                              <w:color w:val="AAAAAA"/>
                              <w:spacing w:val="-10"/>
                              <w:w w:val="105"/>
                              <w:sz w:val="15"/>
                            </w:rPr>
                            <w:t>3</w:t>
                          </w:r>
                        </w:p>
                      </w:txbxContent>
                    </wps:txbx>
                    <wps:bodyPr wrap="square" lIns="0" tIns="0" rIns="0" bIns="0" rtlCol="0">
                      <a:noAutofit/>
                    </wps:bodyPr>
                  </wps:wsp>
                </a:graphicData>
              </a:graphic>
            </wp:anchor>
          </w:drawing>
        </mc:Choice>
        <mc:Fallback>
          <w:pict>
            <v:shape style="position:absolute;margin-left:440.996613pt;margin-top:723.38678pt;width:123.95pt;height:27.35pt;mso-position-horizontal-relative:page;mso-position-vertical-relative:page;z-index:-15863296" type="#_x0000_t202" id="docshape2" filled="false" stroked="false">
              <v:textbox inset="0,0,0,0">
                <w:txbxContent>
                  <w:p>
                    <w:pPr>
                      <w:pStyle w:val="BodyText"/>
                      <w:spacing w:before="40"/>
                      <w:ind w:right="78"/>
                      <w:jc w:val="right"/>
                      <w:rPr>
                        <w:rFonts w:ascii="Arial"/>
                      </w:rPr>
                    </w:pPr>
                    <w:r>
                      <w:rPr>
                        <w:rFonts w:ascii="Arial"/>
                        <w:spacing w:val="-5"/>
                      </w:rPr>
                      <w:fldChar w:fldCharType="begin"/>
                    </w:r>
                    <w:r>
                      <w:rPr>
                        <w:rFonts w:ascii="Arial"/>
                        <w:spacing w:val="-5"/>
                      </w:rPr>
                      <w:instrText> PAGE </w:instrText>
                    </w:r>
                    <w:r>
                      <w:rPr>
                        <w:rFonts w:ascii="Arial"/>
                        <w:spacing w:val="-5"/>
                      </w:rPr>
                      <w:fldChar w:fldCharType="separate"/>
                    </w:r>
                    <w:r>
                      <w:rPr>
                        <w:rFonts w:ascii="Arial"/>
                        <w:spacing w:val="-5"/>
                      </w:rPr>
                      <w:t>19</w:t>
                    </w:r>
                    <w:r>
                      <w:rPr>
                        <w:rFonts w:ascii="Arial"/>
                        <w:spacing w:val="-5"/>
                      </w:rPr>
                      <w:fldChar w:fldCharType="end"/>
                    </w:r>
                  </w:p>
                  <w:p>
                    <w:pPr>
                      <w:spacing w:before="91"/>
                      <w:ind w:left="20" w:right="0" w:firstLine="0"/>
                      <w:jc w:val="left"/>
                      <w:rPr>
                        <w:rFonts w:ascii="Arial" w:hAnsi="Arial"/>
                        <w:sz w:val="15"/>
                      </w:rPr>
                    </w:pPr>
                    <w:r>
                      <w:rPr>
                        <w:rFonts w:ascii="Arial" w:hAnsi="Arial"/>
                        <w:color w:val="AAAAAA"/>
                        <w:spacing w:val="18"/>
                        <w:w w:val="105"/>
                        <w:sz w:val="15"/>
                      </w:rPr>
                      <w:t>INBAR.</w:t>
                    </w:r>
                    <w:r>
                      <w:rPr>
                        <w:rFonts w:ascii="Arial" w:hAnsi="Arial"/>
                        <w:color w:val="AAAAAA"/>
                        <w:spacing w:val="-25"/>
                        <w:w w:val="105"/>
                        <w:sz w:val="15"/>
                      </w:rPr>
                      <w:t> </w:t>
                    </w:r>
                    <w:r>
                      <w:rPr>
                        <w:rFonts w:ascii="Arial" w:hAnsi="Arial"/>
                        <w:color w:val="AAAAAA"/>
                        <w:spacing w:val="14"/>
                        <w:w w:val="105"/>
                        <w:sz w:val="15"/>
                      </w:rPr>
                      <w:t>ORG</w:t>
                    </w:r>
                    <w:r>
                      <w:rPr>
                        <w:rFonts w:ascii="Arial" w:hAnsi="Arial"/>
                        <w:color w:val="AAAAAA"/>
                        <w:spacing w:val="77"/>
                        <w:w w:val="150"/>
                        <w:sz w:val="15"/>
                      </w:rPr>
                      <w:t> </w:t>
                    </w:r>
                    <w:r>
                      <w:rPr>
                        <w:rFonts w:ascii="Arial" w:hAnsi="Arial"/>
                        <w:b/>
                        <w:color w:val="AAAAAA"/>
                        <w:w w:val="105"/>
                        <w:sz w:val="15"/>
                      </w:rPr>
                      <w:t>•</w:t>
                    </w:r>
                    <w:r>
                      <w:rPr>
                        <w:rFonts w:ascii="Arial" w:hAnsi="Arial"/>
                        <w:b/>
                        <w:color w:val="AAAAAA"/>
                        <w:spacing w:val="71"/>
                        <w:w w:val="150"/>
                        <w:sz w:val="15"/>
                      </w:rPr>
                      <w:t> </w:t>
                    </w:r>
                    <w:r>
                      <w:rPr>
                        <w:rFonts w:ascii="Arial" w:hAnsi="Arial"/>
                        <w:color w:val="AAAAAA"/>
                        <w:spacing w:val="16"/>
                        <w:w w:val="105"/>
                        <w:sz w:val="15"/>
                      </w:rPr>
                      <w:t>JUNE</w:t>
                    </w:r>
                    <w:r>
                      <w:rPr>
                        <w:rFonts w:ascii="Arial" w:hAnsi="Arial"/>
                        <w:color w:val="AAAAAA"/>
                        <w:spacing w:val="40"/>
                        <w:w w:val="105"/>
                        <w:sz w:val="15"/>
                      </w:rPr>
                      <w:t> </w:t>
                    </w:r>
                    <w:r>
                      <w:rPr>
                        <w:rFonts w:ascii="Arial" w:hAnsi="Arial"/>
                        <w:color w:val="AAAAAA"/>
                        <w:spacing w:val="10"/>
                        <w:w w:val="105"/>
                        <w:sz w:val="15"/>
                      </w:rPr>
                      <w:t>20</w:t>
                    </w:r>
                    <w:r>
                      <w:rPr>
                        <w:rFonts w:ascii="Arial" w:hAnsi="Arial"/>
                        <w:color w:val="AAAAAA"/>
                        <w:spacing w:val="-22"/>
                        <w:w w:val="105"/>
                        <w:sz w:val="15"/>
                      </w:rPr>
                      <w:t> </w:t>
                    </w:r>
                    <w:r>
                      <w:rPr>
                        <w:rFonts w:ascii="Arial" w:hAnsi="Arial"/>
                        <w:color w:val="AAAAAA"/>
                        <w:w w:val="105"/>
                        <w:sz w:val="15"/>
                      </w:rPr>
                      <w:t>2</w:t>
                    </w:r>
                    <w:r>
                      <w:rPr>
                        <w:rFonts w:ascii="Arial" w:hAnsi="Arial"/>
                        <w:color w:val="AAAAAA"/>
                        <w:spacing w:val="-21"/>
                        <w:w w:val="105"/>
                        <w:sz w:val="15"/>
                      </w:rPr>
                      <w:t> </w:t>
                    </w:r>
                    <w:r>
                      <w:rPr>
                        <w:rFonts w:ascii="Arial" w:hAnsi="Arial"/>
                        <w:color w:val="AAAAAA"/>
                        <w:spacing w:val="-10"/>
                        <w:w w:val="105"/>
                        <w:sz w:val="15"/>
                      </w:rPr>
                      <w:t>3</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53696">
              <wp:simplePos x="0" y="0"/>
              <wp:positionH relativeFrom="page">
                <wp:posOffset>5600656</wp:posOffset>
              </wp:positionH>
              <wp:positionV relativeFrom="page">
                <wp:posOffset>9187012</wp:posOffset>
              </wp:positionV>
              <wp:extent cx="1534795" cy="34734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534795" cy="347345"/>
                      </a:xfrm>
                      <a:prstGeom prst="rect">
                        <a:avLst/>
                      </a:prstGeom>
                    </wps:spPr>
                    <wps:txbx>
                      <w:txbxContent>
                        <w:p>
                          <w:pPr>
                            <w:pStyle w:val="BodyText"/>
                            <w:spacing w:before="40"/>
                            <w:ind w:right="18"/>
                            <w:jc w:val="right"/>
                            <w:rPr>
                              <w:rFonts w:ascii="Arial"/>
                            </w:rPr>
                          </w:pPr>
                          <w:r>
                            <w:rPr>
                              <w:rFonts w:ascii="Arial"/>
                              <w:spacing w:val="-5"/>
                              <w:w w:val="105"/>
                            </w:rPr>
                            <w:t>37</w:t>
                          </w:r>
                        </w:p>
                        <w:p>
                          <w:pPr>
                            <w:spacing w:before="91"/>
                            <w:ind w:left="20" w:right="0" w:firstLine="0"/>
                            <w:jc w:val="left"/>
                            <w:rPr>
                              <w:rFonts w:ascii="Arial" w:hAnsi="Arial"/>
                              <w:sz w:val="15"/>
                            </w:rPr>
                          </w:pPr>
                          <w:r>
                            <w:rPr>
                              <w:rFonts w:ascii="Arial" w:hAnsi="Arial"/>
                              <w:color w:val="AAAAAA"/>
                              <w:spacing w:val="18"/>
                              <w:w w:val="105"/>
                              <w:sz w:val="15"/>
                            </w:rPr>
                            <w:t>INBAR.</w:t>
                          </w:r>
                          <w:r>
                            <w:rPr>
                              <w:rFonts w:ascii="Arial" w:hAnsi="Arial"/>
                              <w:color w:val="AAAAAA"/>
                              <w:spacing w:val="-25"/>
                              <w:w w:val="105"/>
                              <w:sz w:val="15"/>
                            </w:rPr>
                            <w:t> </w:t>
                          </w:r>
                          <w:r>
                            <w:rPr>
                              <w:rFonts w:ascii="Arial" w:hAnsi="Arial"/>
                              <w:color w:val="AAAAAA"/>
                              <w:spacing w:val="14"/>
                              <w:w w:val="105"/>
                              <w:sz w:val="15"/>
                            </w:rPr>
                            <w:t>ORG</w:t>
                          </w:r>
                          <w:r>
                            <w:rPr>
                              <w:rFonts w:ascii="Arial" w:hAnsi="Arial"/>
                              <w:color w:val="AAAAAA"/>
                              <w:spacing w:val="77"/>
                              <w:w w:val="150"/>
                              <w:sz w:val="15"/>
                            </w:rPr>
                            <w:t> </w:t>
                          </w:r>
                          <w:r>
                            <w:rPr>
                              <w:rFonts w:ascii="Arial" w:hAnsi="Arial"/>
                              <w:b/>
                              <w:color w:val="AAAAAA"/>
                              <w:w w:val="105"/>
                              <w:sz w:val="15"/>
                            </w:rPr>
                            <w:t>•</w:t>
                          </w:r>
                          <w:r>
                            <w:rPr>
                              <w:rFonts w:ascii="Arial" w:hAnsi="Arial"/>
                              <w:b/>
                              <w:color w:val="AAAAAA"/>
                              <w:spacing w:val="71"/>
                              <w:w w:val="150"/>
                              <w:sz w:val="15"/>
                            </w:rPr>
                            <w:t> </w:t>
                          </w:r>
                          <w:r>
                            <w:rPr>
                              <w:rFonts w:ascii="Arial" w:hAnsi="Arial"/>
                              <w:color w:val="AAAAAA"/>
                              <w:spacing w:val="16"/>
                              <w:w w:val="105"/>
                              <w:sz w:val="15"/>
                            </w:rPr>
                            <w:t>JUNE</w:t>
                          </w:r>
                          <w:r>
                            <w:rPr>
                              <w:rFonts w:ascii="Arial" w:hAnsi="Arial"/>
                              <w:color w:val="AAAAAA"/>
                              <w:spacing w:val="40"/>
                              <w:w w:val="105"/>
                              <w:sz w:val="15"/>
                            </w:rPr>
                            <w:t> </w:t>
                          </w:r>
                          <w:r>
                            <w:rPr>
                              <w:rFonts w:ascii="Arial" w:hAnsi="Arial"/>
                              <w:color w:val="AAAAAA"/>
                              <w:spacing w:val="10"/>
                              <w:w w:val="105"/>
                              <w:sz w:val="15"/>
                            </w:rPr>
                            <w:t>20</w:t>
                          </w:r>
                          <w:r>
                            <w:rPr>
                              <w:rFonts w:ascii="Arial" w:hAnsi="Arial"/>
                              <w:color w:val="AAAAAA"/>
                              <w:spacing w:val="-22"/>
                              <w:w w:val="105"/>
                              <w:sz w:val="15"/>
                            </w:rPr>
                            <w:t> </w:t>
                          </w:r>
                          <w:r>
                            <w:rPr>
                              <w:rFonts w:ascii="Arial" w:hAnsi="Arial"/>
                              <w:color w:val="AAAAAA"/>
                              <w:w w:val="105"/>
                              <w:sz w:val="15"/>
                            </w:rPr>
                            <w:t>2</w:t>
                          </w:r>
                          <w:r>
                            <w:rPr>
                              <w:rFonts w:ascii="Arial" w:hAnsi="Arial"/>
                              <w:color w:val="AAAAAA"/>
                              <w:spacing w:val="-21"/>
                              <w:w w:val="105"/>
                              <w:sz w:val="15"/>
                            </w:rPr>
                            <w:t> </w:t>
                          </w:r>
                          <w:r>
                            <w:rPr>
                              <w:rFonts w:ascii="Arial" w:hAnsi="Arial"/>
                              <w:color w:val="AAAAAA"/>
                              <w:spacing w:val="-10"/>
                              <w:w w:val="105"/>
                              <w:sz w:val="15"/>
                            </w:rPr>
                            <w:t>3</w:t>
                          </w:r>
                        </w:p>
                      </w:txbxContent>
                    </wps:txbx>
                    <wps:bodyPr wrap="square" lIns="0" tIns="0" rIns="0" bIns="0" rtlCol="0">
                      <a:noAutofit/>
                    </wps:bodyPr>
                  </wps:wsp>
                </a:graphicData>
              </a:graphic>
            </wp:anchor>
          </w:drawing>
        </mc:Choice>
        <mc:Fallback>
          <w:pict>
            <v:shape style="position:absolute;margin-left:440.996613pt;margin-top:723.38678pt;width:120.85pt;height:27.35pt;mso-position-horizontal-relative:page;mso-position-vertical-relative:page;z-index:-15862784" type="#_x0000_t202" id="docshape10" filled="false" stroked="false">
              <v:textbox inset="0,0,0,0">
                <w:txbxContent>
                  <w:p>
                    <w:pPr>
                      <w:pStyle w:val="BodyText"/>
                      <w:spacing w:before="40"/>
                      <w:ind w:right="18"/>
                      <w:jc w:val="right"/>
                      <w:rPr>
                        <w:rFonts w:ascii="Arial"/>
                      </w:rPr>
                    </w:pPr>
                    <w:r>
                      <w:rPr>
                        <w:rFonts w:ascii="Arial"/>
                        <w:spacing w:val="-5"/>
                        <w:w w:val="105"/>
                      </w:rPr>
                      <w:t>37</w:t>
                    </w:r>
                  </w:p>
                  <w:p>
                    <w:pPr>
                      <w:spacing w:before="91"/>
                      <w:ind w:left="20" w:right="0" w:firstLine="0"/>
                      <w:jc w:val="left"/>
                      <w:rPr>
                        <w:rFonts w:ascii="Arial" w:hAnsi="Arial"/>
                        <w:sz w:val="15"/>
                      </w:rPr>
                    </w:pPr>
                    <w:r>
                      <w:rPr>
                        <w:rFonts w:ascii="Arial" w:hAnsi="Arial"/>
                        <w:color w:val="AAAAAA"/>
                        <w:spacing w:val="18"/>
                        <w:w w:val="105"/>
                        <w:sz w:val="15"/>
                      </w:rPr>
                      <w:t>INBAR.</w:t>
                    </w:r>
                    <w:r>
                      <w:rPr>
                        <w:rFonts w:ascii="Arial" w:hAnsi="Arial"/>
                        <w:color w:val="AAAAAA"/>
                        <w:spacing w:val="-25"/>
                        <w:w w:val="105"/>
                        <w:sz w:val="15"/>
                      </w:rPr>
                      <w:t> </w:t>
                    </w:r>
                    <w:r>
                      <w:rPr>
                        <w:rFonts w:ascii="Arial" w:hAnsi="Arial"/>
                        <w:color w:val="AAAAAA"/>
                        <w:spacing w:val="14"/>
                        <w:w w:val="105"/>
                        <w:sz w:val="15"/>
                      </w:rPr>
                      <w:t>ORG</w:t>
                    </w:r>
                    <w:r>
                      <w:rPr>
                        <w:rFonts w:ascii="Arial" w:hAnsi="Arial"/>
                        <w:color w:val="AAAAAA"/>
                        <w:spacing w:val="77"/>
                        <w:w w:val="150"/>
                        <w:sz w:val="15"/>
                      </w:rPr>
                      <w:t> </w:t>
                    </w:r>
                    <w:r>
                      <w:rPr>
                        <w:rFonts w:ascii="Arial" w:hAnsi="Arial"/>
                        <w:b/>
                        <w:color w:val="AAAAAA"/>
                        <w:w w:val="105"/>
                        <w:sz w:val="15"/>
                      </w:rPr>
                      <w:t>•</w:t>
                    </w:r>
                    <w:r>
                      <w:rPr>
                        <w:rFonts w:ascii="Arial" w:hAnsi="Arial"/>
                        <w:b/>
                        <w:color w:val="AAAAAA"/>
                        <w:spacing w:val="71"/>
                        <w:w w:val="150"/>
                        <w:sz w:val="15"/>
                      </w:rPr>
                      <w:t> </w:t>
                    </w:r>
                    <w:r>
                      <w:rPr>
                        <w:rFonts w:ascii="Arial" w:hAnsi="Arial"/>
                        <w:color w:val="AAAAAA"/>
                        <w:spacing w:val="16"/>
                        <w:w w:val="105"/>
                        <w:sz w:val="15"/>
                      </w:rPr>
                      <w:t>JUNE</w:t>
                    </w:r>
                    <w:r>
                      <w:rPr>
                        <w:rFonts w:ascii="Arial" w:hAnsi="Arial"/>
                        <w:color w:val="AAAAAA"/>
                        <w:spacing w:val="40"/>
                        <w:w w:val="105"/>
                        <w:sz w:val="15"/>
                      </w:rPr>
                      <w:t> </w:t>
                    </w:r>
                    <w:r>
                      <w:rPr>
                        <w:rFonts w:ascii="Arial" w:hAnsi="Arial"/>
                        <w:color w:val="AAAAAA"/>
                        <w:spacing w:val="10"/>
                        <w:w w:val="105"/>
                        <w:sz w:val="15"/>
                      </w:rPr>
                      <w:t>20</w:t>
                    </w:r>
                    <w:r>
                      <w:rPr>
                        <w:rFonts w:ascii="Arial" w:hAnsi="Arial"/>
                        <w:color w:val="AAAAAA"/>
                        <w:spacing w:val="-22"/>
                        <w:w w:val="105"/>
                        <w:sz w:val="15"/>
                      </w:rPr>
                      <w:t> </w:t>
                    </w:r>
                    <w:r>
                      <w:rPr>
                        <w:rFonts w:ascii="Arial" w:hAnsi="Arial"/>
                        <w:color w:val="AAAAAA"/>
                        <w:w w:val="105"/>
                        <w:sz w:val="15"/>
                      </w:rPr>
                      <w:t>2</w:t>
                    </w:r>
                    <w:r>
                      <w:rPr>
                        <w:rFonts w:ascii="Arial" w:hAnsi="Arial"/>
                        <w:color w:val="AAAAAA"/>
                        <w:spacing w:val="-21"/>
                        <w:w w:val="105"/>
                        <w:sz w:val="15"/>
                      </w:rPr>
                      <w:t> </w:t>
                    </w:r>
                    <w:r>
                      <w:rPr>
                        <w:rFonts w:ascii="Arial" w:hAnsi="Arial"/>
                        <w:color w:val="AAAAAA"/>
                        <w:spacing w:val="-10"/>
                        <w:w w:val="105"/>
                        <w:sz w:val="15"/>
                      </w:rPr>
                      <w:t>3</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650" w:hanging="270"/>
        <w:jc w:val="right"/>
      </w:pPr>
      <w:rPr>
        <w:rFonts w:hint="default" w:ascii="Times New Roman" w:hAnsi="Times New Roman" w:eastAsia="Times New Roman" w:cs="Times New Roman"/>
        <w:b w:val="0"/>
        <w:bCs w:val="0"/>
        <w:i w:val="0"/>
        <w:iCs w:val="0"/>
        <w:spacing w:val="-3"/>
        <w:w w:val="111"/>
        <w:sz w:val="14"/>
        <w:szCs w:val="14"/>
        <w:lang w:val="en-US" w:eastAsia="en-US" w:bidi="ar-SA"/>
      </w:rPr>
    </w:lvl>
    <w:lvl w:ilvl="1">
      <w:start w:val="0"/>
      <w:numFmt w:val="bullet"/>
      <w:lvlText w:val="•"/>
      <w:lvlJc w:val="left"/>
      <w:pPr>
        <w:ind w:left="922" w:hanging="270"/>
      </w:pPr>
      <w:rPr>
        <w:rFonts w:hint="default"/>
        <w:lang w:val="en-US" w:eastAsia="en-US" w:bidi="ar-SA"/>
      </w:rPr>
    </w:lvl>
    <w:lvl w:ilvl="2">
      <w:start w:val="0"/>
      <w:numFmt w:val="bullet"/>
      <w:lvlText w:val="•"/>
      <w:lvlJc w:val="left"/>
      <w:pPr>
        <w:ind w:left="1185" w:hanging="270"/>
      </w:pPr>
      <w:rPr>
        <w:rFonts w:hint="default"/>
        <w:lang w:val="en-US" w:eastAsia="en-US" w:bidi="ar-SA"/>
      </w:rPr>
    </w:lvl>
    <w:lvl w:ilvl="3">
      <w:start w:val="0"/>
      <w:numFmt w:val="bullet"/>
      <w:lvlText w:val="•"/>
      <w:lvlJc w:val="left"/>
      <w:pPr>
        <w:ind w:left="1447" w:hanging="270"/>
      </w:pPr>
      <w:rPr>
        <w:rFonts w:hint="default"/>
        <w:lang w:val="en-US" w:eastAsia="en-US" w:bidi="ar-SA"/>
      </w:rPr>
    </w:lvl>
    <w:lvl w:ilvl="4">
      <w:start w:val="0"/>
      <w:numFmt w:val="bullet"/>
      <w:lvlText w:val="•"/>
      <w:lvlJc w:val="left"/>
      <w:pPr>
        <w:ind w:left="1710" w:hanging="270"/>
      </w:pPr>
      <w:rPr>
        <w:rFonts w:hint="default"/>
        <w:lang w:val="en-US" w:eastAsia="en-US" w:bidi="ar-SA"/>
      </w:rPr>
    </w:lvl>
    <w:lvl w:ilvl="5">
      <w:start w:val="0"/>
      <w:numFmt w:val="bullet"/>
      <w:lvlText w:val="•"/>
      <w:lvlJc w:val="left"/>
      <w:pPr>
        <w:ind w:left="1973" w:hanging="270"/>
      </w:pPr>
      <w:rPr>
        <w:rFonts w:hint="default"/>
        <w:lang w:val="en-US" w:eastAsia="en-US" w:bidi="ar-SA"/>
      </w:rPr>
    </w:lvl>
    <w:lvl w:ilvl="6">
      <w:start w:val="0"/>
      <w:numFmt w:val="bullet"/>
      <w:lvlText w:val="•"/>
      <w:lvlJc w:val="left"/>
      <w:pPr>
        <w:ind w:left="2235" w:hanging="270"/>
      </w:pPr>
      <w:rPr>
        <w:rFonts w:hint="default"/>
        <w:lang w:val="en-US" w:eastAsia="en-US" w:bidi="ar-SA"/>
      </w:rPr>
    </w:lvl>
    <w:lvl w:ilvl="7">
      <w:start w:val="0"/>
      <w:numFmt w:val="bullet"/>
      <w:lvlText w:val="•"/>
      <w:lvlJc w:val="left"/>
      <w:pPr>
        <w:ind w:left="2498" w:hanging="270"/>
      </w:pPr>
      <w:rPr>
        <w:rFonts w:hint="default"/>
        <w:lang w:val="en-US" w:eastAsia="en-US" w:bidi="ar-SA"/>
      </w:rPr>
    </w:lvl>
    <w:lvl w:ilvl="8">
      <w:start w:val="0"/>
      <w:numFmt w:val="bullet"/>
      <w:lvlText w:val="•"/>
      <w:lvlJc w:val="left"/>
      <w:pPr>
        <w:ind w:left="2761" w:hanging="27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18"/>
      <w:szCs w:val="18"/>
      <w:lang w:val="en-US" w:eastAsia="en-US" w:bidi="ar-SA"/>
    </w:rPr>
  </w:style>
  <w:style w:styleId="Heading1" w:type="paragraph">
    <w:name w:val="Heading 1"/>
    <w:basedOn w:val="Normal"/>
    <w:uiPriority w:val="1"/>
    <w:qFormat/>
    <w:pPr>
      <w:ind w:left="708" w:right="39"/>
      <w:jc w:val="center"/>
      <w:outlineLvl w:val="1"/>
    </w:pPr>
    <w:rPr>
      <w:rFonts w:ascii="Arial" w:hAnsi="Arial" w:eastAsia="Arial" w:cs="Arial"/>
      <w:b/>
      <w:bCs/>
      <w:sz w:val="22"/>
      <w:szCs w:val="22"/>
      <w:lang w:val="en-US" w:eastAsia="en-US" w:bidi="ar-SA"/>
    </w:rPr>
  </w:style>
  <w:style w:styleId="Heading2" w:type="paragraph">
    <w:name w:val="Heading 2"/>
    <w:basedOn w:val="Normal"/>
    <w:uiPriority w:val="1"/>
    <w:qFormat/>
    <w:pPr>
      <w:ind w:left="111"/>
      <w:outlineLvl w:val="2"/>
    </w:pPr>
    <w:rPr>
      <w:rFonts w:ascii="Arial" w:hAnsi="Arial" w:eastAsia="Arial" w:cs="Arial"/>
      <w:b/>
      <w:bCs/>
      <w:sz w:val="18"/>
      <w:szCs w:val="18"/>
      <w:lang w:val="en-US" w:eastAsia="en-US" w:bidi="ar-SA"/>
    </w:rPr>
  </w:style>
  <w:style w:styleId="Title" w:type="paragraph">
    <w:name w:val="Title"/>
    <w:basedOn w:val="Normal"/>
    <w:uiPriority w:val="1"/>
    <w:qFormat/>
    <w:pPr>
      <w:spacing w:line="1008" w:lineRule="exact"/>
    </w:pPr>
    <w:rPr>
      <w:rFonts w:ascii="Times New Roman" w:hAnsi="Times New Roman" w:eastAsia="Times New Roman" w:cs="Times New Roman"/>
      <w:sz w:val="88"/>
      <w:szCs w:val="88"/>
      <w:lang w:val="en-US" w:eastAsia="en-US" w:bidi="ar-SA"/>
    </w:rPr>
  </w:style>
  <w:style w:styleId="ListParagraph" w:type="paragraph">
    <w:name w:val="List Paragraph"/>
    <w:basedOn w:val="Normal"/>
    <w:uiPriority w:val="1"/>
    <w:qFormat/>
    <w:pPr>
      <w:spacing w:before="13"/>
      <w:ind w:left="380" w:hanging="27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hyperlink" Target="http://www.inbar.org/" TargetMode="External"/><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oter" Target="footer3.xml"/><Relationship Id="rId16" Type="http://schemas.openxmlformats.org/officeDocument/2006/relationships/image" Target="media/image8.jpe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2023-10-12T17:26:26Z</dcterms:created>
  <dcterms:modified xsi:type="dcterms:W3CDTF">2023-10-12T17:26:26Z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2023-10-12T00:00:00Z</vt:filetime>
  </property>
  <property fmtid="{D5CDD505-2E9C-101B-9397-08002B2CF9AE}" pid="3" name="Creator">
    <vt:lpwstr>Adobe InDesign 18.2 (Macintosh)</vt:lpwstr>
  </property>
  <property fmtid="{D5CDD505-2E9C-101B-9397-08002B2CF9AE}" pid="4" name="LastSaved">
    <vt:filetime>2023-10-12T00:00:00Z</vt:filetime>
  </property>
  <property fmtid="{D5CDD505-2E9C-101B-9397-08002B2CF9AE}" pid="5" name="Producer">
    <vt:lpwstr>3-Heights(TM) PDF Optimization Shell 5.9.1.5 (http://www.pdf-tools.com)</vt:lpwstr>
  </property>
</Properties>
</file>